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AA2" w:rsidRDefault="00BE40B7">
      <w:pPr>
        <w:pStyle w:val="ab"/>
        <w:wordWrap w:val="0"/>
        <w:spacing w:after="109" w:line="340" w:lineRule="exact"/>
        <w:jc w:val="center"/>
        <w:rPr>
          <w:rFonts w:ascii="標楷體" w:eastAsia="標楷體" w:hAnsi="標楷體"/>
          <w:sz w:val="28"/>
        </w:rPr>
      </w:pPr>
      <w:r>
        <w:rPr>
          <w:rFonts w:ascii="標楷體" w:eastAsia="標楷體" w:hAnsi="標楷體"/>
          <w:sz w:val="28"/>
        </w:rPr>
        <w:t>111年度臺北市市有公用房地提供設置太陽光電公民電廠行政契約</w:t>
      </w:r>
    </w:p>
    <w:p w:rsidR="00DE4AA2" w:rsidRDefault="00DE4AA2">
      <w:pPr>
        <w:pStyle w:val="ab"/>
        <w:wordWrap w:val="0"/>
        <w:spacing w:after="109" w:line="340" w:lineRule="exact"/>
        <w:rPr>
          <w:rFonts w:ascii="標楷體" w:eastAsia="標楷體" w:hAnsi="標楷體"/>
          <w:sz w:val="28"/>
        </w:rPr>
      </w:pPr>
    </w:p>
    <w:p w:rsidR="00DE4AA2" w:rsidRDefault="00BE40B7">
      <w:pPr>
        <w:pStyle w:val="ab"/>
        <w:wordWrap w:val="0"/>
        <w:spacing w:line="320" w:lineRule="exact"/>
        <w:ind w:firstLine="480"/>
      </w:pPr>
      <w:r>
        <w:rPr>
          <w:rFonts w:ascii="標楷體" w:eastAsia="標楷體" w:hAnsi="標楷體"/>
        </w:rPr>
        <w:t>立行政契約人</w:t>
      </w:r>
      <w:r w:rsidR="00031D1A" w:rsidRPr="00031D1A">
        <w:rPr>
          <w:rFonts w:ascii="標楷體" w:eastAsia="標楷體" w:hAnsi="標楷體" w:hint="eastAsia"/>
          <w:u w:val="single"/>
          <w:shd w:val="clear" w:color="auto" w:fill="FFFF00"/>
        </w:rPr>
        <w:t>臺北市中山區長安國民小學</w:t>
      </w:r>
      <w:r>
        <w:rPr>
          <w:rFonts w:ascii="標楷體" w:eastAsia="標楷體" w:hAnsi="標楷體"/>
        </w:rPr>
        <w:t>（以下簡稱甲方）茲同意</w:t>
      </w:r>
      <w:r>
        <w:rPr>
          <w:rFonts w:ascii="標楷體" w:eastAsia="標楷體" w:hAnsi="標楷體"/>
          <w:u w:val="single"/>
        </w:rPr>
        <w:t xml:space="preserve">                    </w:t>
      </w:r>
      <w:r>
        <w:rPr>
          <w:rFonts w:ascii="標楷體" w:eastAsia="標楷體" w:hAnsi="標楷體"/>
        </w:rPr>
        <w:t>（以下簡稱乙方）使用本契約第一條所示之市有公用房地(以下簡稱公用房地)，雙方特約定契約條款如下：</w:t>
      </w:r>
    </w:p>
    <w:p w:rsidR="00DE4AA2" w:rsidRPr="00031D1A" w:rsidRDefault="00BE40B7">
      <w:pPr>
        <w:pStyle w:val="ab"/>
        <w:wordWrap w:val="0"/>
        <w:spacing w:line="320" w:lineRule="exact"/>
        <w:rPr>
          <w:rFonts w:ascii="標楷體" w:eastAsia="標楷體" w:hAnsi="標楷體"/>
          <w:u w:val="single"/>
          <w:shd w:val="clear" w:color="auto" w:fill="FFFF00"/>
        </w:rPr>
      </w:pPr>
      <w:r>
        <w:rPr>
          <w:rFonts w:ascii="標楷體" w:eastAsia="標楷體" w:hAnsi="標楷體"/>
        </w:rPr>
        <w:t>第　一　條　　使用公用房地座落標示，</w:t>
      </w:r>
      <w:r w:rsidR="00031D1A" w:rsidRPr="00031D1A">
        <w:rPr>
          <w:rFonts w:ascii="標楷體" w:eastAsia="標楷體" w:hAnsi="標楷體" w:hint="eastAsia"/>
          <w:u w:val="single"/>
          <w:shd w:val="clear" w:color="auto" w:fill="FFFF00"/>
        </w:rPr>
        <w:t>臺北市中山區長安國民小學</w:t>
      </w:r>
      <w:r>
        <w:rPr>
          <w:rFonts w:ascii="標楷體" w:eastAsia="標楷體" w:hAnsi="標楷體"/>
          <w:u w:val="single"/>
          <w:shd w:val="clear" w:color="auto" w:fill="FFFF00"/>
        </w:rPr>
        <w:t>(地址</w:t>
      </w:r>
      <w:r w:rsidR="00031D1A">
        <w:rPr>
          <w:rFonts w:ascii="標楷體" w:eastAsia="標楷體" w:hAnsi="標楷體"/>
          <w:u w:val="single"/>
          <w:shd w:val="clear" w:color="auto" w:fill="FFFF00"/>
        </w:rPr>
        <w:t>):臺北市中山區吉林路15號</w:t>
      </w:r>
      <w:r>
        <w:rPr>
          <w:rFonts w:ascii="標楷體" w:eastAsia="標楷體" w:hAnsi="標楷體"/>
        </w:rPr>
        <w:t>。</w:t>
      </w:r>
    </w:p>
    <w:p w:rsidR="00DE4AA2" w:rsidRDefault="00BE40B7">
      <w:pPr>
        <w:pStyle w:val="ab"/>
        <w:wordWrap w:val="0"/>
        <w:spacing w:line="320" w:lineRule="exact"/>
        <w:rPr>
          <w:rFonts w:ascii="標楷體" w:eastAsia="標楷體" w:hAnsi="標楷體"/>
          <w:szCs w:val="24"/>
        </w:rPr>
      </w:pPr>
      <w:r>
        <w:rPr>
          <w:rFonts w:ascii="標楷體" w:eastAsia="標楷體" w:hAnsi="標楷體"/>
          <w:szCs w:val="24"/>
        </w:rPr>
        <w:t>第　二　條　　使用目的及用途</w:t>
      </w:r>
    </w:p>
    <w:p w:rsidR="00DE4AA2" w:rsidRDefault="00BE40B7">
      <w:pPr>
        <w:pStyle w:val="ab"/>
        <w:wordWrap w:val="0"/>
        <w:spacing w:line="320" w:lineRule="exact"/>
        <w:ind w:left="1080" w:firstLine="480"/>
      </w:pPr>
      <w:r>
        <w:rPr>
          <w:rFonts w:ascii="標楷體" w:eastAsia="標楷體" w:hAnsi="標楷體"/>
          <w:szCs w:val="24"/>
        </w:rPr>
        <w:t>本契約提供使用之</w:t>
      </w:r>
      <w:r>
        <w:rPr>
          <w:rFonts w:ascii="標楷體" w:eastAsia="標楷體" w:hAnsi="標楷體"/>
        </w:rPr>
        <w:t>公用</w:t>
      </w:r>
      <w:r>
        <w:rPr>
          <w:rFonts w:ascii="標楷體" w:eastAsia="標楷體" w:hAnsi="標楷體"/>
          <w:szCs w:val="24"/>
        </w:rPr>
        <w:t>房地僅限作為設置太陽光電發電設備，不得</w:t>
      </w:r>
      <w:bookmarkStart w:id="0" w:name="_GoBack"/>
      <w:bookmarkEnd w:id="0"/>
      <w:r>
        <w:rPr>
          <w:rFonts w:ascii="標楷體" w:eastAsia="標楷體" w:hAnsi="標楷體"/>
          <w:szCs w:val="24"/>
        </w:rPr>
        <w:t>供任何其他用途。</w:t>
      </w:r>
    </w:p>
    <w:p w:rsidR="00DE4AA2" w:rsidRDefault="00BE40B7">
      <w:pPr>
        <w:pStyle w:val="ab"/>
        <w:wordWrap w:val="0"/>
        <w:spacing w:line="320" w:lineRule="exact"/>
      </w:pPr>
      <w:r>
        <w:rPr>
          <w:rFonts w:ascii="標楷體" w:eastAsia="標楷體" w:hAnsi="標楷體"/>
          <w:szCs w:val="24"/>
        </w:rPr>
        <w:t>第　三　條　　使用期間</w:t>
      </w:r>
    </w:p>
    <w:p w:rsidR="00DE4AA2" w:rsidRDefault="00BE40B7">
      <w:pPr>
        <w:pStyle w:val="ab"/>
        <w:numPr>
          <w:ilvl w:val="0"/>
          <w:numId w:val="9"/>
        </w:numPr>
        <w:wordWrap w:val="0"/>
        <w:spacing w:line="320" w:lineRule="exact"/>
        <w:ind w:left="2268" w:hanging="588"/>
      </w:pPr>
      <w:r>
        <w:rPr>
          <w:rFonts w:ascii="標楷體" w:eastAsia="標楷體" w:hAnsi="標楷體"/>
          <w:szCs w:val="24"/>
        </w:rPr>
        <w:t>自</w:t>
      </w:r>
      <w:r>
        <w:rPr>
          <w:rFonts w:ascii="標楷體" w:eastAsia="標楷體" w:hAnsi="標楷體"/>
        </w:rPr>
        <w:t>決</w:t>
      </w:r>
      <w:r>
        <w:rPr>
          <w:rFonts w:ascii="標楷體" w:eastAsia="標楷體" w:hAnsi="標楷體"/>
          <w:szCs w:val="24"/>
        </w:rPr>
        <w:t>標日之次日(</w:t>
      </w:r>
      <w:r>
        <w:rPr>
          <w:rFonts w:ascii="標楷體" w:eastAsia="標楷體" w:hAnsi="標楷體"/>
          <w:szCs w:val="24"/>
          <w:shd w:val="clear" w:color="auto" w:fill="FFFF00"/>
        </w:rPr>
        <w:t>民國</w:t>
      </w:r>
      <w:r>
        <w:rPr>
          <w:rFonts w:ascii="標楷體" w:eastAsia="標楷體" w:hAnsi="標楷體"/>
          <w:szCs w:val="24"/>
          <w:u w:val="single"/>
          <w:shd w:val="clear" w:color="auto" w:fill="FFFF00"/>
        </w:rPr>
        <w:t xml:space="preserve">    </w:t>
      </w:r>
      <w:r>
        <w:rPr>
          <w:rFonts w:ascii="標楷體" w:eastAsia="標楷體" w:hAnsi="標楷體"/>
          <w:szCs w:val="24"/>
          <w:shd w:val="clear" w:color="auto" w:fill="FFFF00"/>
        </w:rPr>
        <w:t>年</w:t>
      </w:r>
      <w:r>
        <w:rPr>
          <w:rFonts w:ascii="標楷體" w:eastAsia="標楷體" w:hAnsi="標楷體"/>
          <w:szCs w:val="24"/>
          <w:u w:val="single"/>
          <w:shd w:val="clear" w:color="auto" w:fill="FFFF00"/>
        </w:rPr>
        <w:t xml:space="preserve">    </w:t>
      </w:r>
      <w:r>
        <w:rPr>
          <w:rFonts w:ascii="標楷體" w:eastAsia="標楷體" w:hAnsi="標楷體"/>
          <w:szCs w:val="24"/>
          <w:shd w:val="clear" w:color="auto" w:fill="FFFF00"/>
        </w:rPr>
        <w:t>月</w:t>
      </w:r>
      <w:r>
        <w:rPr>
          <w:rFonts w:ascii="標楷體" w:eastAsia="標楷體" w:hAnsi="標楷體"/>
          <w:szCs w:val="24"/>
          <w:u w:val="single"/>
          <w:shd w:val="clear" w:color="auto" w:fill="FFFF00"/>
        </w:rPr>
        <w:t xml:space="preserve">    </w:t>
      </w:r>
      <w:r>
        <w:rPr>
          <w:rFonts w:ascii="標楷體" w:eastAsia="標楷體" w:hAnsi="標楷體"/>
          <w:szCs w:val="24"/>
          <w:shd w:val="clear" w:color="auto" w:fill="FFFF00"/>
        </w:rPr>
        <w:t>日</w:t>
      </w:r>
      <w:r>
        <w:rPr>
          <w:rFonts w:ascii="標楷體" w:eastAsia="標楷體" w:hAnsi="標楷體"/>
          <w:szCs w:val="24"/>
        </w:rPr>
        <w:t>)起算至</w:t>
      </w:r>
      <w:r>
        <w:rPr>
          <w:rFonts w:ascii="標楷體" w:eastAsia="標楷體" w:hAnsi="標楷體"/>
          <w:szCs w:val="24"/>
          <w:shd w:val="clear" w:color="auto" w:fill="FFFF00"/>
        </w:rPr>
        <w:t>民國</w:t>
      </w:r>
      <w:r>
        <w:rPr>
          <w:rFonts w:ascii="標楷體" w:eastAsia="標楷體" w:hAnsi="標楷體"/>
          <w:szCs w:val="24"/>
          <w:u w:val="single"/>
          <w:shd w:val="clear" w:color="auto" w:fill="FFFF00"/>
        </w:rPr>
        <w:t xml:space="preserve">    </w:t>
      </w:r>
      <w:r>
        <w:rPr>
          <w:rFonts w:ascii="標楷體" w:eastAsia="標楷體" w:hAnsi="標楷體"/>
          <w:szCs w:val="24"/>
          <w:shd w:val="clear" w:color="auto" w:fill="FFFF00"/>
        </w:rPr>
        <w:t>年</w:t>
      </w:r>
      <w:r>
        <w:rPr>
          <w:rFonts w:ascii="標楷體" w:eastAsia="標楷體" w:hAnsi="標楷體"/>
          <w:szCs w:val="24"/>
          <w:u w:val="single"/>
          <w:shd w:val="clear" w:color="auto" w:fill="FFFF00"/>
        </w:rPr>
        <w:t xml:space="preserve">    </w:t>
      </w:r>
      <w:r>
        <w:rPr>
          <w:rFonts w:ascii="標楷體" w:eastAsia="標楷體" w:hAnsi="標楷體"/>
          <w:szCs w:val="24"/>
          <w:shd w:val="clear" w:color="auto" w:fill="FFFF00"/>
        </w:rPr>
        <w:t>月</w:t>
      </w:r>
      <w:r>
        <w:rPr>
          <w:rFonts w:ascii="標楷體" w:eastAsia="標楷體" w:hAnsi="標楷體"/>
          <w:szCs w:val="24"/>
          <w:u w:val="single"/>
          <w:shd w:val="clear" w:color="auto" w:fill="FFFF00"/>
        </w:rPr>
        <w:t xml:space="preserve">    </w:t>
      </w:r>
      <w:r>
        <w:rPr>
          <w:rFonts w:ascii="標楷體" w:eastAsia="標楷體" w:hAnsi="標楷體"/>
          <w:szCs w:val="24"/>
          <w:shd w:val="clear" w:color="auto" w:fill="FFFF00"/>
        </w:rPr>
        <w:t>日</w:t>
      </w:r>
      <w:r>
        <w:rPr>
          <w:rFonts w:ascii="標楷體" w:eastAsia="標楷體" w:hAnsi="標楷體"/>
          <w:szCs w:val="24"/>
        </w:rPr>
        <w:t>止，計9年11個月。</w:t>
      </w:r>
    </w:p>
    <w:p w:rsidR="00DE4AA2" w:rsidRDefault="00BE40B7">
      <w:pPr>
        <w:pStyle w:val="ab"/>
        <w:wordWrap w:val="0"/>
        <w:spacing w:line="320" w:lineRule="exact"/>
        <w:rPr>
          <w:rFonts w:ascii="標楷體" w:eastAsia="標楷體" w:hAnsi="標楷體"/>
          <w:szCs w:val="24"/>
        </w:rPr>
      </w:pPr>
      <w:r>
        <w:rPr>
          <w:rFonts w:ascii="標楷體" w:eastAsia="標楷體" w:hAnsi="標楷體"/>
          <w:szCs w:val="24"/>
        </w:rPr>
        <w:t>第　四　條　　使用範圍及條件</w:t>
      </w:r>
    </w:p>
    <w:p w:rsidR="00DE4AA2" w:rsidRDefault="00BE40B7">
      <w:pPr>
        <w:pStyle w:val="ab"/>
        <w:numPr>
          <w:ilvl w:val="0"/>
          <w:numId w:val="10"/>
        </w:numPr>
        <w:wordWrap w:val="0"/>
        <w:spacing w:line="320" w:lineRule="exact"/>
        <w:ind w:left="2268" w:hanging="567"/>
        <w:rPr>
          <w:rFonts w:ascii="標楷體" w:eastAsia="標楷體" w:hAnsi="標楷體"/>
          <w:szCs w:val="24"/>
        </w:rPr>
      </w:pPr>
      <w:r>
        <w:rPr>
          <w:rFonts w:ascii="標楷體" w:eastAsia="標楷體" w:hAnsi="標楷體"/>
          <w:szCs w:val="24"/>
        </w:rPr>
        <w:t>乙方應確認設置容量後，依第九條第二款規定報經甲方核定，乙方應以甲方同意之標的及容量進行施作，並應於</w:t>
      </w:r>
      <w:r w:rsidRPr="00177674">
        <w:rPr>
          <w:rFonts w:ascii="標楷體" w:eastAsia="標楷體" w:hAnsi="標楷體"/>
          <w:szCs w:val="24"/>
          <w:highlight w:val="yellow"/>
        </w:rPr>
        <w:t>決標次日起</w:t>
      </w:r>
      <w:r w:rsidR="00177674" w:rsidRPr="00177674">
        <w:rPr>
          <w:rFonts w:ascii="標楷體" w:eastAsia="標楷體" w:hAnsi="標楷體" w:hint="eastAsia"/>
          <w:szCs w:val="24"/>
          <w:highlight w:val="yellow"/>
        </w:rPr>
        <w:t>1年2</w:t>
      </w:r>
      <w:r w:rsidRPr="00177674">
        <w:rPr>
          <w:rFonts w:ascii="標楷體" w:eastAsia="標楷體" w:hAnsi="標楷體"/>
          <w:szCs w:val="24"/>
          <w:highlight w:val="yellow"/>
        </w:rPr>
        <w:t>個月內</w:t>
      </w:r>
      <w:r>
        <w:rPr>
          <w:rFonts w:ascii="標楷體" w:eastAsia="標楷體" w:hAnsi="標楷體"/>
          <w:szCs w:val="24"/>
        </w:rPr>
        <w:t>施作完成，並取得台灣電力股份有限公司核發之完成併聯試運轉作業相關證明文件，且以書面送至甲方核定完成設置。</w:t>
      </w:r>
    </w:p>
    <w:p w:rsidR="00DE4AA2" w:rsidRDefault="00BE40B7">
      <w:pPr>
        <w:pStyle w:val="ab"/>
        <w:numPr>
          <w:ilvl w:val="0"/>
          <w:numId w:val="10"/>
        </w:numPr>
        <w:wordWrap w:val="0"/>
        <w:spacing w:line="320" w:lineRule="exact"/>
        <w:ind w:left="2268" w:hanging="567"/>
        <w:rPr>
          <w:rFonts w:ascii="標楷體" w:eastAsia="標楷體" w:hAnsi="標楷體"/>
          <w:szCs w:val="24"/>
        </w:rPr>
      </w:pPr>
      <w:r>
        <w:rPr>
          <w:rFonts w:ascii="標楷體" w:eastAsia="標楷體" w:hAnsi="標楷體"/>
          <w:szCs w:val="24"/>
        </w:rPr>
        <w:t>乙方應於</w:t>
      </w:r>
      <w:r w:rsidRPr="00177674">
        <w:rPr>
          <w:rFonts w:ascii="標楷體" w:eastAsia="標楷體" w:hAnsi="標楷體"/>
          <w:szCs w:val="24"/>
          <w:highlight w:val="yellow"/>
        </w:rPr>
        <w:t>決標日之次日起</w:t>
      </w:r>
      <w:r w:rsidR="00177674" w:rsidRPr="00177674">
        <w:rPr>
          <w:rFonts w:ascii="標楷體" w:eastAsia="標楷體" w:hAnsi="標楷體" w:hint="eastAsia"/>
          <w:szCs w:val="24"/>
          <w:highlight w:val="yellow"/>
        </w:rPr>
        <w:t>10</w:t>
      </w:r>
      <w:r w:rsidRPr="00177674">
        <w:rPr>
          <w:rFonts w:ascii="標楷體" w:eastAsia="標楷體" w:hAnsi="標楷體"/>
          <w:szCs w:val="24"/>
          <w:highlight w:val="yellow"/>
        </w:rPr>
        <w:t>個月內</w:t>
      </w:r>
      <w:r>
        <w:rPr>
          <w:rFonts w:ascii="標楷體" w:eastAsia="標楷體" w:hAnsi="標楷體"/>
          <w:szCs w:val="24"/>
        </w:rPr>
        <w:t>，完成辦理本套設備公民募資、捐款或其他自然人投資參與程序，開放募資比例不得少於建置總經費50%、乙方自有資金不得少於建置總經費30%，並以書面檢送相關資料予甲方備查。</w:t>
      </w:r>
    </w:p>
    <w:p w:rsidR="00DE4AA2" w:rsidRDefault="00BE40B7">
      <w:pPr>
        <w:pStyle w:val="ab"/>
        <w:numPr>
          <w:ilvl w:val="0"/>
          <w:numId w:val="10"/>
        </w:numPr>
        <w:wordWrap w:val="0"/>
        <w:spacing w:line="320" w:lineRule="exact"/>
        <w:ind w:left="2268" w:hanging="567"/>
        <w:rPr>
          <w:rFonts w:ascii="標楷體" w:eastAsia="標楷體" w:hAnsi="標楷體"/>
          <w:szCs w:val="24"/>
        </w:rPr>
      </w:pPr>
      <w:r>
        <w:rPr>
          <w:rFonts w:ascii="標楷體" w:eastAsia="標楷體" w:hAnsi="標楷體"/>
          <w:szCs w:val="24"/>
        </w:rPr>
        <w:t>乙方應確認前款太陽光電發電設備之民眾參與方式採用合法方式。甲方不因審查乙方提交之報告而對乙方之民眾參與方法負擔核定權力或確認其行為合法之義務。</w:t>
      </w:r>
    </w:p>
    <w:p w:rsidR="00DE4AA2" w:rsidRDefault="00BE40B7">
      <w:pPr>
        <w:pStyle w:val="ab"/>
        <w:numPr>
          <w:ilvl w:val="0"/>
          <w:numId w:val="10"/>
        </w:numPr>
        <w:wordWrap w:val="0"/>
        <w:spacing w:line="320" w:lineRule="exact"/>
        <w:ind w:left="2268" w:hanging="567"/>
        <w:rPr>
          <w:rFonts w:ascii="標楷體" w:eastAsia="標楷體" w:hAnsi="標楷體"/>
          <w:szCs w:val="24"/>
        </w:rPr>
      </w:pPr>
      <w:r>
        <w:rPr>
          <w:rFonts w:ascii="標楷體" w:eastAsia="標楷體" w:hAnsi="標楷體"/>
          <w:szCs w:val="24"/>
        </w:rPr>
        <w:t>乙方應先確認本契約公用房地建築物合法性、評估使用年限仍達20年以上、結構安全疑慮及是否原定有其他用途等相關事項。</w:t>
      </w:r>
    </w:p>
    <w:p w:rsidR="00DE4AA2" w:rsidRDefault="00BE40B7">
      <w:pPr>
        <w:pStyle w:val="ab"/>
        <w:numPr>
          <w:ilvl w:val="0"/>
          <w:numId w:val="10"/>
        </w:numPr>
        <w:wordWrap w:val="0"/>
        <w:spacing w:line="320" w:lineRule="exact"/>
        <w:ind w:left="2268" w:hanging="567"/>
        <w:rPr>
          <w:rFonts w:ascii="標楷體" w:eastAsia="標楷體" w:hAnsi="標楷體"/>
          <w:szCs w:val="24"/>
        </w:rPr>
      </w:pPr>
      <w:r>
        <w:rPr>
          <w:rFonts w:ascii="標楷體" w:eastAsia="標楷體" w:hAnsi="標楷體"/>
          <w:szCs w:val="24"/>
        </w:rPr>
        <w:t>乙方應保證至少完成投標單競標設備設置容量，並於履約期間內維護發電設備正常使用。</w:t>
      </w:r>
    </w:p>
    <w:p w:rsidR="00DE4AA2" w:rsidRDefault="00BE40B7">
      <w:pPr>
        <w:numPr>
          <w:ilvl w:val="0"/>
          <w:numId w:val="10"/>
        </w:numPr>
        <w:wordWrap w:val="0"/>
        <w:spacing w:line="320" w:lineRule="exact"/>
        <w:ind w:left="2268" w:hanging="567"/>
      </w:pPr>
      <w:r>
        <w:rPr>
          <w:rFonts w:ascii="標楷體" w:eastAsia="標楷體" w:hAnsi="標楷體"/>
          <w:szCs w:val="24"/>
        </w:rPr>
        <w:t>乙方設置之太陽光電發電設備，</w:t>
      </w:r>
      <w:r>
        <w:rPr>
          <w:rFonts w:ascii="標楷體" w:eastAsia="標楷體" w:hAnsi="標楷體"/>
          <w:kern w:val="0"/>
          <w:szCs w:val="24"/>
        </w:rPr>
        <w:t>其模組設備全數應採用符合經濟部能源局核發同意備案文件當年度或以後年度之經濟部標準檢驗局公告之「臺灣高效能太陽光電模組技術規範之太陽光電模組」。</w:t>
      </w:r>
    </w:p>
    <w:p w:rsidR="00DE4AA2" w:rsidRDefault="00BE40B7">
      <w:pPr>
        <w:numPr>
          <w:ilvl w:val="0"/>
          <w:numId w:val="10"/>
        </w:numPr>
        <w:wordWrap w:val="0"/>
        <w:spacing w:line="320" w:lineRule="exact"/>
        <w:ind w:left="2268" w:hanging="567"/>
      </w:pPr>
      <w:r>
        <w:rPr>
          <w:rFonts w:ascii="標楷體" w:eastAsia="標楷體" w:hAnsi="標楷體"/>
          <w:kern w:val="0"/>
          <w:szCs w:val="24"/>
        </w:rPr>
        <w:t>資訊傳輸應由乙方自行設置資通訊設備，以不佔用公用房地管理機關既設網路為原則，該設備不得使用中國大陸廠牌資通訊產品。</w:t>
      </w:r>
    </w:p>
    <w:p w:rsidR="00DE4AA2" w:rsidRDefault="00BE40B7">
      <w:pPr>
        <w:pStyle w:val="ab"/>
        <w:numPr>
          <w:ilvl w:val="0"/>
          <w:numId w:val="10"/>
        </w:numPr>
        <w:wordWrap w:val="0"/>
        <w:spacing w:line="320" w:lineRule="exact"/>
        <w:ind w:left="2268" w:hanging="567"/>
        <w:rPr>
          <w:rFonts w:ascii="標楷體" w:eastAsia="標楷體" w:hAnsi="標楷體"/>
          <w:szCs w:val="24"/>
        </w:rPr>
      </w:pPr>
      <w:r>
        <w:rPr>
          <w:rFonts w:ascii="標楷體" w:eastAsia="標楷體" w:hAnsi="標楷體"/>
          <w:szCs w:val="24"/>
        </w:rPr>
        <w:t>因不可歸責乙方之事由無法建置或如期完成時，經乙方提出申請，甲方同意後得予展延或扣除之。</w:t>
      </w:r>
    </w:p>
    <w:p w:rsidR="00DE4AA2" w:rsidRDefault="00BE40B7">
      <w:pPr>
        <w:pStyle w:val="ab"/>
        <w:numPr>
          <w:ilvl w:val="0"/>
          <w:numId w:val="10"/>
        </w:numPr>
        <w:wordWrap w:val="0"/>
        <w:spacing w:line="320" w:lineRule="exact"/>
        <w:ind w:left="2268" w:hanging="567"/>
        <w:rPr>
          <w:rFonts w:ascii="標楷體" w:eastAsia="標楷體" w:hAnsi="標楷體"/>
          <w:szCs w:val="24"/>
        </w:rPr>
      </w:pPr>
      <w:r>
        <w:rPr>
          <w:rFonts w:ascii="標楷體" w:eastAsia="標楷體" w:hAnsi="標楷體"/>
          <w:szCs w:val="24"/>
        </w:rPr>
        <w:t>乙方依甲方核定之使用標的清單完成太陽光電發電設備建置，因不可歸責乙方之事由，太陽光電發電設備無法正常使用，經乙方提出申請，甲方同意後得扣除之。</w:t>
      </w:r>
    </w:p>
    <w:p w:rsidR="00DE4AA2" w:rsidRDefault="00BE40B7">
      <w:pPr>
        <w:pStyle w:val="ab"/>
        <w:wordWrap w:val="0"/>
        <w:spacing w:line="320" w:lineRule="exact"/>
        <w:ind w:left="1680" w:hanging="1680"/>
        <w:rPr>
          <w:rFonts w:ascii="標楷體" w:eastAsia="標楷體" w:hAnsi="標楷體"/>
          <w:szCs w:val="24"/>
        </w:rPr>
      </w:pPr>
      <w:r>
        <w:rPr>
          <w:rFonts w:ascii="標楷體" w:eastAsia="標楷體" w:hAnsi="標楷體"/>
          <w:szCs w:val="24"/>
        </w:rPr>
        <w:t>第　五　條　　稅捐負擔</w:t>
      </w:r>
    </w:p>
    <w:p w:rsidR="00DE4AA2" w:rsidRDefault="00BE40B7">
      <w:pPr>
        <w:pStyle w:val="ab"/>
        <w:wordWrap w:val="0"/>
        <w:spacing w:line="320" w:lineRule="exact"/>
        <w:ind w:left="1080" w:firstLine="480"/>
        <w:rPr>
          <w:rFonts w:ascii="標楷體" w:eastAsia="標楷體" w:hAnsi="標楷體"/>
          <w:szCs w:val="24"/>
        </w:rPr>
      </w:pPr>
      <w:r>
        <w:rPr>
          <w:rFonts w:ascii="標楷體" w:eastAsia="標楷體" w:hAnsi="標楷體"/>
          <w:szCs w:val="24"/>
        </w:rPr>
        <w:t>因本契約衍生之房屋稅、地價稅、相關賦稅或其他法定稅捐，由乙方負擔。</w:t>
      </w:r>
    </w:p>
    <w:p w:rsidR="00DE4AA2" w:rsidRDefault="00BE40B7">
      <w:pPr>
        <w:pStyle w:val="ab"/>
        <w:wordWrap w:val="0"/>
        <w:spacing w:line="320" w:lineRule="exact"/>
        <w:ind w:left="1680" w:hanging="1680"/>
        <w:rPr>
          <w:rFonts w:ascii="標楷體" w:eastAsia="標楷體" w:hAnsi="標楷體"/>
          <w:szCs w:val="24"/>
        </w:rPr>
      </w:pPr>
      <w:r>
        <w:rPr>
          <w:rFonts w:ascii="標楷體" w:eastAsia="標楷體" w:hAnsi="標楷體"/>
          <w:szCs w:val="24"/>
        </w:rPr>
        <w:t>第　六　條　　回饋金繳納及報告提交</w:t>
      </w:r>
    </w:p>
    <w:p w:rsidR="00DE4AA2" w:rsidRDefault="00BE40B7">
      <w:pPr>
        <w:pStyle w:val="ab"/>
        <w:numPr>
          <w:ilvl w:val="0"/>
          <w:numId w:val="11"/>
        </w:numPr>
        <w:wordWrap w:val="0"/>
        <w:spacing w:line="320" w:lineRule="exact"/>
        <w:ind w:left="2268" w:hanging="567"/>
        <w:rPr>
          <w:rFonts w:ascii="標楷體" w:eastAsia="標楷體" w:hAnsi="標楷體"/>
          <w:szCs w:val="24"/>
        </w:rPr>
      </w:pPr>
      <w:r>
        <w:rPr>
          <w:rFonts w:ascii="標楷體" w:eastAsia="標楷體" w:hAnsi="標楷體"/>
          <w:szCs w:val="24"/>
        </w:rPr>
        <w:t>回饋金計算方式：</w:t>
      </w:r>
    </w:p>
    <w:p w:rsidR="00DE4AA2" w:rsidRDefault="00BE40B7">
      <w:pPr>
        <w:pStyle w:val="ab"/>
        <w:numPr>
          <w:ilvl w:val="0"/>
          <w:numId w:val="12"/>
        </w:numPr>
        <w:wordWrap w:val="0"/>
        <w:spacing w:line="320" w:lineRule="exact"/>
        <w:rPr>
          <w:rFonts w:ascii="標楷體" w:eastAsia="標楷體" w:hAnsi="標楷體"/>
          <w:szCs w:val="24"/>
        </w:rPr>
      </w:pPr>
      <w:r>
        <w:rPr>
          <w:rFonts w:ascii="標楷體" w:eastAsia="標楷體" w:hAnsi="標楷體"/>
          <w:szCs w:val="24"/>
        </w:rPr>
        <w:t>房地使用回饋金</w:t>
      </w:r>
    </w:p>
    <w:p w:rsidR="00DE4AA2" w:rsidRDefault="00BE40B7">
      <w:pPr>
        <w:pStyle w:val="ab"/>
        <w:numPr>
          <w:ilvl w:val="0"/>
          <w:numId w:val="13"/>
        </w:numPr>
        <w:wordWrap w:val="0"/>
        <w:spacing w:line="320" w:lineRule="exact"/>
        <w:rPr>
          <w:rFonts w:ascii="標楷體" w:eastAsia="標楷體" w:hAnsi="標楷體"/>
          <w:szCs w:val="24"/>
        </w:rPr>
      </w:pPr>
      <w:r>
        <w:rPr>
          <w:rFonts w:ascii="標楷體" w:eastAsia="標楷體" w:hAnsi="標楷體"/>
          <w:szCs w:val="24"/>
        </w:rPr>
        <w:t>房地使用回饋金為含稅之售電收入(元)×售電回饋百分比(%)。</w:t>
      </w:r>
    </w:p>
    <w:p w:rsidR="00DE4AA2" w:rsidRDefault="00BE40B7">
      <w:pPr>
        <w:pStyle w:val="ab"/>
        <w:numPr>
          <w:ilvl w:val="0"/>
          <w:numId w:val="13"/>
        </w:numPr>
        <w:wordWrap w:val="0"/>
        <w:spacing w:line="320" w:lineRule="exact"/>
      </w:pPr>
      <w:r>
        <w:rPr>
          <w:rFonts w:ascii="標楷體" w:eastAsia="標楷體" w:hAnsi="標楷體"/>
          <w:szCs w:val="24"/>
        </w:rPr>
        <w:lastRenderedPageBreak/>
        <w:t>回饋百分比(%)為乙方得標時承諾願支付之售電收入百分比：</w:t>
      </w:r>
      <w:r>
        <w:rPr>
          <w:rFonts w:ascii="標楷體" w:eastAsia="標楷體" w:hAnsi="標楷體"/>
          <w:szCs w:val="24"/>
          <w:u w:val="single"/>
        </w:rPr>
        <w:t xml:space="preserve">  7  </w:t>
      </w:r>
      <w:r>
        <w:rPr>
          <w:rFonts w:ascii="標楷體" w:eastAsia="標楷體" w:hAnsi="標楷體"/>
          <w:szCs w:val="24"/>
        </w:rPr>
        <w:t>%。</w:t>
      </w:r>
    </w:p>
    <w:p w:rsidR="00DE4AA2" w:rsidRDefault="00BE40B7">
      <w:pPr>
        <w:pStyle w:val="ab"/>
        <w:numPr>
          <w:ilvl w:val="0"/>
          <w:numId w:val="12"/>
        </w:numPr>
        <w:wordWrap w:val="0"/>
        <w:spacing w:line="320" w:lineRule="exact"/>
        <w:rPr>
          <w:rFonts w:ascii="標楷體" w:eastAsia="標楷體" w:hAnsi="標楷體"/>
          <w:szCs w:val="24"/>
        </w:rPr>
      </w:pPr>
      <w:r>
        <w:rPr>
          <w:rFonts w:ascii="標楷體" w:eastAsia="標楷體" w:hAnsi="標楷體"/>
          <w:szCs w:val="24"/>
        </w:rPr>
        <w:t>公益回饋金：</w:t>
      </w:r>
    </w:p>
    <w:p w:rsidR="00DE4AA2" w:rsidRDefault="00BE40B7">
      <w:pPr>
        <w:pStyle w:val="ab"/>
        <w:numPr>
          <w:ilvl w:val="0"/>
          <w:numId w:val="14"/>
        </w:numPr>
        <w:wordWrap w:val="0"/>
        <w:spacing w:line="320" w:lineRule="exact"/>
        <w:rPr>
          <w:rFonts w:ascii="標楷體" w:eastAsia="標楷體" w:hAnsi="標楷體"/>
          <w:szCs w:val="24"/>
        </w:rPr>
      </w:pPr>
      <w:r>
        <w:rPr>
          <w:rFonts w:ascii="標楷體" w:eastAsia="標楷體" w:hAnsi="標楷體"/>
          <w:szCs w:val="24"/>
        </w:rPr>
        <w:t>應使用於社會公益計畫之回饋金為含稅之售電收入(元)×售電回饋百分比(%)。</w:t>
      </w:r>
    </w:p>
    <w:p w:rsidR="00DE4AA2" w:rsidRDefault="00BE40B7">
      <w:pPr>
        <w:pStyle w:val="ab"/>
        <w:numPr>
          <w:ilvl w:val="0"/>
          <w:numId w:val="14"/>
        </w:numPr>
        <w:wordWrap w:val="0"/>
        <w:spacing w:line="320" w:lineRule="exact"/>
      </w:pPr>
      <w:r>
        <w:rPr>
          <w:rFonts w:ascii="標楷體" w:eastAsia="標楷體" w:hAnsi="標楷體"/>
          <w:szCs w:val="24"/>
        </w:rPr>
        <w:t>公益回饋百分比(%)為乙方得標時承諾願支付之售電收入百分比：</w:t>
      </w:r>
      <w:r>
        <w:rPr>
          <w:rFonts w:ascii="標楷體" w:eastAsia="標楷體" w:hAnsi="標楷體"/>
          <w:szCs w:val="24"/>
          <w:u w:val="single"/>
        </w:rPr>
        <w:t>4</w:t>
      </w:r>
      <w:r>
        <w:rPr>
          <w:rFonts w:ascii="標楷體" w:eastAsia="標楷體" w:hAnsi="標楷體"/>
          <w:szCs w:val="24"/>
        </w:rPr>
        <w:t>%。</w:t>
      </w:r>
    </w:p>
    <w:p w:rsidR="00DE4AA2" w:rsidRDefault="00BE40B7">
      <w:pPr>
        <w:pStyle w:val="ab"/>
        <w:numPr>
          <w:ilvl w:val="0"/>
          <w:numId w:val="12"/>
        </w:numPr>
        <w:wordWrap w:val="0"/>
        <w:spacing w:line="320" w:lineRule="exact"/>
        <w:rPr>
          <w:rFonts w:ascii="標楷體" w:eastAsia="標楷體" w:hAnsi="標楷體"/>
          <w:szCs w:val="24"/>
        </w:rPr>
      </w:pPr>
      <w:r>
        <w:rPr>
          <w:rFonts w:ascii="標楷體" w:eastAsia="標楷體" w:hAnsi="標楷體"/>
          <w:szCs w:val="24"/>
        </w:rPr>
        <w:t>售電收入由乙方向台灣電力股份有限公司申請每月回售電價總收入之證明，以計算每期總發電售出所得價款。</w:t>
      </w:r>
    </w:p>
    <w:p w:rsidR="00DE4AA2" w:rsidRDefault="00BE40B7">
      <w:pPr>
        <w:pStyle w:val="ab"/>
        <w:numPr>
          <w:ilvl w:val="0"/>
          <w:numId w:val="11"/>
        </w:numPr>
        <w:wordWrap w:val="0"/>
        <w:spacing w:line="320" w:lineRule="exact"/>
        <w:ind w:left="2268" w:hanging="567"/>
        <w:rPr>
          <w:rFonts w:ascii="標楷體" w:eastAsia="標楷體" w:hAnsi="標楷體"/>
          <w:szCs w:val="24"/>
        </w:rPr>
      </w:pPr>
      <w:r>
        <w:rPr>
          <w:rFonts w:ascii="標楷體" w:eastAsia="標楷體" w:hAnsi="標楷體"/>
          <w:szCs w:val="24"/>
        </w:rPr>
        <w:t>房地使用回饋金繳納方式：</w:t>
      </w:r>
    </w:p>
    <w:p w:rsidR="00DE4AA2" w:rsidRDefault="00BE40B7">
      <w:pPr>
        <w:pStyle w:val="ab"/>
        <w:numPr>
          <w:ilvl w:val="0"/>
          <w:numId w:val="15"/>
        </w:numPr>
        <w:wordWrap w:val="0"/>
        <w:spacing w:line="320" w:lineRule="exact"/>
        <w:rPr>
          <w:rFonts w:ascii="標楷體" w:eastAsia="標楷體" w:hAnsi="標楷體"/>
          <w:szCs w:val="24"/>
        </w:rPr>
      </w:pPr>
      <w:r>
        <w:rPr>
          <w:rFonts w:ascii="標楷體" w:eastAsia="標楷體" w:hAnsi="標楷體"/>
          <w:szCs w:val="24"/>
        </w:rPr>
        <w:t>房地使用回饋金之計算應於決標日之次日起算(除第1期及最後1期外，1年為1期)。乙方應於每年的3月1日至31日期間內，分別製作前1年度1月至12月房地使用回饋金繳納明細表，並提交每一期台灣電力公司再生能源電能躉購電費通知單影本至甲方。逾期未提供房地使用回饋金繳納明細表，每逾一日罰款新臺幣500元。</w:t>
      </w:r>
    </w:p>
    <w:p w:rsidR="00DE4AA2" w:rsidRDefault="00BE40B7">
      <w:pPr>
        <w:pStyle w:val="ab"/>
        <w:numPr>
          <w:ilvl w:val="0"/>
          <w:numId w:val="15"/>
        </w:numPr>
        <w:wordWrap w:val="0"/>
        <w:spacing w:line="320" w:lineRule="exact"/>
        <w:rPr>
          <w:rFonts w:ascii="標楷體" w:eastAsia="標楷體" w:hAnsi="標楷體"/>
          <w:szCs w:val="24"/>
        </w:rPr>
      </w:pPr>
      <w:r>
        <w:rPr>
          <w:rFonts w:ascii="標楷體" w:eastAsia="標楷體" w:hAnsi="標楷體"/>
          <w:szCs w:val="24"/>
        </w:rPr>
        <w:t>最後1期之房地使用回饋金，乙方應於使用期間期滿之次日起4個月內，依尚未繳納房地使用回饋金之月數，製作房地使用回饋金之明細表，並提交每一期台灣電力公司再生能源電能躉購電費通知單影本至甲方。逾期未提供房地使用回饋金繳納明細表，每逾一日罰款新臺幣500元。</w:t>
      </w:r>
    </w:p>
    <w:p w:rsidR="00DE4AA2" w:rsidRDefault="00BE40B7">
      <w:pPr>
        <w:pStyle w:val="ab"/>
        <w:numPr>
          <w:ilvl w:val="0"/>
          <w:numId w:val="15"/>
        </w:numPr>
        <w:wordWrap w:val="0"/>
        <w:spacing w:line="320" w:lineRule="exact"/>
        <w:rPr>
          <w:rFonts w:ascii="標楷體" w:eastAsia="標楷體" w:hAnsi="標楷體"/>
          <w:szCs w:val="24"/>
        </w:rPr>
      </w:pPr>
      <w:r>
        <w:rPr>
          <w:rFonts w:ascii="標楷體" w:eastAsia="標楷體" w:hAnsi="標楷體"/>
          <w:szCs w:val="24"/>
        </w:rPr>
        <w:t>甲方應於收到房地使用回饋金繳納明細表後，開立繳款通知單予乙方，乙方應於甲方指定期限內至指定處所繳納該期房地使用回饋金。乙方未收到繳款通知單者，應自動洽甲方補單繳納；乙方未補單致使用回饋金逾期未繳，視逾期違約，應加收逾期違約金。</w:t>
      </w:r>
    </w:p>
    <w:p w:rsidR="00DE4AA2" w:rsidRDefault="00BE40B7">
      <w:pPr>
        <w:pStyle w:val="ab"/>
        <w:numPr>
          <w:ilvl w:val="0"/>
          <w:numId w:val="15"/>
        </w:numPr>
        <w:wordWrap w:val="0"/>
        <w:spacing w:line="320" w:lineRule="exact"/>
        <w:rPr>
          <w:rFonts w:ascii="標楷體" w:eastAsia="標楷體" w:hAnsi="標楷體"/>
          <w:szCs w:val="24"/>
        </w:rPr>
      </w:pPr>
      <w:r>
        <w:rPr>
          <w:rFonts w:ascii="標楷體" w:eastAsia="標楷體" w:hAnsi="標楷體"/>
          <w:szCs w:val="24"/>
        </w:rPr>
        <w:t>上述房地使用回饋金，如乙方於繳納期限內未繳納，甲方應依第七條第1款逾期違約金計算方式，開立逾期違約金繳款單，乙方應於甲方指定期限內繳納完畢。</w:t>
      </w:r>
    </w:p>
    <w:p w:rsidR="00DE4AA2" w:rsidRDefault="00BE40B7">
      <w:pPr>
        <w:pStyle w:val="ab"/>
        <w:numPr>
          <w:ilvl w:val="0"/>
          <w:numId w:val="11"/>
        </w:numPr>
        <w:wordWrap w:val="0"/>
        <w:spacing w:line="320" w:lineRule="exact"/>
        <w:ind w:left="2268" w:hanging="567"/>
        <w:rPr>
          <w:rFonts w:ascii="標楷體" w:eastAsia="標楷體" w:hAnsi="標楷體"/>
          <w:szCs w:val="24"/>
        </w:rPr>
      </w:pPr>
      <w:r>
        <w:rPr>
          <w:rFonts w:ascii="標楷體" w:eastAsia="標楷體" w:hAnsi="標楷體"/>
          <w:szCs w:val="24"/>
        </w:rPr>
        <w:t>公益回饋金報告提交：</w:t>
      </w:r>
    </w:p>
    <w:p w:rsidR="00DE4AA2" w:rsidRDefault="00BE40B7">
      <w:pPr>
        <w:pStyle w:val="ab"/>
        <w:wordWrap w:val="0"/>
        <w:spacing w:line="320" w:lineRule="exact"/>
        <w:ind w:left="2462" w:hanging="264"/>
        <w:rPr>
          <w:rFonts w:ascii="標楷體" w:eastAsia="標楷體" w:hAnsi="標楷體"/>
          <w:szCs w:val="24"/>
        </w:rPr>
      </w:pPr>
      <w:r>
        <w:rPr>
          <w:rFonts w:ascii="標楷體" w:eastAsia="標楷體" w:hAnsi="標楷體"/>
          <w:szCs w:val="24"/>
        </w:rPr>
        <w:t>1.乙方應提交公益回饋計畫報經甲方核定，並應以甲方同意公益回饋計畫之內容執行。</w:t>
      </w:r>
    </w:p>
    <w:p w:rsidR="00DE4AA2" w:rsidRDefault="00BE40B7">
      <w:pPr>
        <w:pStyle w:val="ab"/>
        <w:wordWrap w:val="0"/>
        <w:spacing w:line="320" w:lineRule="exact"/>
        <w:ind w:left="2462" w:hanging="264"/>
        <w:rPr>
          <w:rFonts w:ascii="標楷體" w:eastAsia="標楷體" w:hAnsi="標楷體"/>
          <w:szCs w:val="24"/>
        </w:rPr>
      </w:pPr>
      <w:r>
        <w:rPr>
          <w:rFonts w:ascii="標楷體" w:eastAsia="標楷體" w:hAnsi="標楷體"/>
          <w:szCs w:val="24"/>
        </w:rPr>
        <w:t>2.乙方應於每年4月15日前，提交前1年度應使用於公益之公益回饋金報告，報告應包括：</w:t>
      </w:r>
    </w:p>
    <w:p w:rsidR="00DE4AA2" w:rsidRDefault="00BE40B7">
      <w:pPr>
        <w:pStyle w:val="ab"/>
        <w:numPr>
          <w:ilvl w:val="0"/>
          <w:numId w:val="16"/>
        </w:numPr>
        <w:wordWrap w:val="0"/>
        <w:spacing w:line="320" w:lineRule="exact"/>
        <w:ind w:left="2694" w:hanging="426"/>
        <w:rPr>
          <w:rFonts w:ascii="標楷體" w:eastAsia="標楷體" w:hAnsi="標楷體"/>
          <w:szCs w:val="24"/>
        </w:rPr>
      </w:pPr>
      <w:r>
        <w:rPr>
          <w:rFonts w:ascii="標楷體" w:eastAsia="標楷體" w:hAnsi="標楷體"/>
          <w:szCs w:val="24"/>
        </w:rPr>
        <w:t>公益回饋金應用方式、辦理過程、成效說明。</w:t>
      </w:r>
    </w:p>
    <w:p w:rsidR="00DE4AA2" w:rsidRDefault="00BE40B7">
      <w:pPr>
        <w:pStyle w:val="ab"/>
        <w:numPr>
          <w:ilvl w:val="0"/>
          <w:numId w:val="16"/>
        </w:numPr>
        <w:wordWrap w:val="0"/>
        <w:spacing w:line="320" w:lineRule="exact"/>
        <w:ind w:left="2694" w:hanging="426"/>
        <w:rPr>
          <w:rFonts w:ascii="標楷體" w:eastAsia="標楷體" w:hAnsi="標楷體"/>
          <w:szCs w:val="24"/>
        </w:rPr>
      </w:pPr>
      <w:r>
        <w:rPr>
          <w:rFonts w:ascii="標楷體" w:eastAsia="標楷體" w:hAnsi="標楷體"/>
          <w:szCs w:val="24"/>
        </w:rPr>
        <w:t>太陽光電發電設備設置之資金對公眾籌集之計畫或現況。</w:t>
      </w:r>
    </w:p>
    <w:p w:rsidR="00DE4AA2" w:rsidRDefault="00BE40B7">
      <w:pPr>
        <w:pStyle w:val="ab"/>
        <w:numPr>
          <w:ilvl w:val="0"/>
          <w:numId w:val="16"/>
        </w:numPr>
        <w:wordWrap w:val="0"/>
        <w:spacing w:line="320" w:lineRule="exact"/>
        <w:ind w:left="2694" w:hanging="426"/>
        <w:rPr>
          <w:rFonts w:ascii="標楷體" w:eastAsia="標楷體" w:hAnsi="標楷體"/>
          <w:szCs w:val="24"/>
        </w:rPr>
      </w:pPr>
      <w:r>
        <w:rPr>
          <w:rFonts w:ascii="標楷體" w:eastAsia="標楷體" w:hAnsi="標楷體"/>
          <w:szCs w:val="24"/>
        </w:rPr>
        <w:t>經費收支使用狀況。</w:t>
      </w:r>
    </w:p>
    <w:p w:rsidR="00DE4AA2" w:rsidRDefault="00BE40B7">
      <w:pPr>
        <w:pStyle w:val="ab"/>
        <w:numPr>
          <w:ilvl w:val="0"/>
          <w:numId w:val="16"/>
        </w:numPr>
        <w:wordWrap w:val="0"/>
        <w:spacing w:line="320" w:lineRule="exact"/>
        <w:ind w:left="2694" w:hanging="426"/>
        <w:rPr>
          <w:rFonts w:ascii="標楷體" w:eastAsia="標楷體" w:hAnsi="標楷體"/>
          <w:szCs w:val="24"/>
        </w:rPr>
      </w:pPr>
      <w:r>
        <w:rPr>
          <w:rFonts w:ascii="標楷體" w:eastAsia="標楷體" w:hAnsi="標楷體"/>
          <w:szCs w:val="24"/>
        </w:rPr>
        <w:t>應列明回饋金用途。另並保存費用支出憑證，以備甲方查核。</w:t>
      </w:r>
    </w:p>
    <w:p w:rsidR="00DE4AA2" w:rsidRDefault="00BE40B7">
      <w:pPr>
        <w:pStyle w:val="ab"/>
        <w:wordWrap w:val="0"/>
        <w:spacing w:line="320" w:lineRule="exact"/>
        <w:ind w:left="2506" w:hanging="252"/>
        <w:rPr>
          <w:rFonts w:ascii="標楷體" w:eastAsia="標楷體" w:hAnsi="標楷體"/>
          <w:szCs w:val="24"/>
        </w:rPr>
      </w:pPr>
      <w:r>
        <w:rPr>
          <w:rFonts w:ascii="標楷體" w:eastAsia="標楷體" w:hAnsi="標楷體"/>
          <w:szCs w:val="24"/>
        </w:rPr>
        <w:t>3.最後1期之公益回饋報告，乙方應於使用期間期滿之次日起4個月內，依尚未填報公益回饋報告之月數，製作相關報告提送甲方。逾期未提供公益回饋金報告，每逾一日罰款新臺幣500元。</w:t>
      </w:r>
    </w:p>
    <w:p w:rsidR="00DE4AA2" w:rsidRDefault="00BE40B7">
      <w:pPr>
        <w:pStyle w:val="ab"/>
        <w:wordWrap w:val="0"/>
        <w:spacing w:line="320" w:lineRule="exact"/>
        <w:ind w:left="1680" w:hanging="1680"/>
        <w:rPr>
          <w:rFonts w:ascii="標楷體" w:eastAsia="標楷體" w:hAnsi="標楷體"/>
          <w:szCs w:val="24"/>
        </w:rPr>
      </w:pPr>
      <w:r>
        <w:rPr>
          <w:rFonts w:ascii="標楷體" w:eastAsia="標楷體" w:hAnsi="標楷體"/>
          <w:szCs w:val="24"/>
        </w:rPr>
        <w:t>第　七　條　　違約金計算方式</w:t>
      </w:r>
    </w:p>
    <w:p w:rsidR="00DE4AA2" w:rsidRDefault="00BE40B7">
      <w:pPr>
        <w:pStyle w:val="ab"/>
        <w:numPr>
          <w:ilvl w:val="0"/>
          <w:numId w:val="17"/>
        </w:numPr>
        <w:wordWrap w:val="0"/>
        <w:spacing w:line="320" w:lineRule="exact"/>
        <w:ind w:left="2268" w:hanging="567"/>
        <w:rPr>
          <w:rFonts w:ascii="標楷體" w:eastAsia="標楷體" w:hAnsi="標楷體"/>
          <w:szCs w:val="24"/>
        </w:rPr>
      </w:pPr>
      <w:r>
        <w:rPr>
          <w:rFonts w:ascii="標楷體" w:eastAsia="標楷體" w:hAnsi="標楷體"/>
          <w:szCs w:val="24"/>
        </w:rPr>
        <w:t>每期房地使用回饋金繳交或公益回饋金報告提交逾期時，應依下列各目加收逾期違約金，乙方絕無異議：</w:t>
      </w:r>
    </w:p>
    <w:p w:rsidR="00DE4AA2" w:rsidRDefault="00BE40B7">
      <w:pPr>
        <w:pStyle w:val="ab"/>
        <w:numPr>
          <w:ilvl w:val="0"/>
          <w:numId w:val="18"/>
        </w:numPr>
        <w:wordWrap w:val="0"/>
        <w:spacing w:line="320" w:lineRule="exact"/>
        <w:ind w:left="2552" w:hanging="284"/>
        <w:rPr>
          <w:rFonts w:ascii="標楷體" w:eastAsia="標楷體" w:hAnsi="標楷體"/>
          <w:szCs w:val="24"/>
        </w:rPr>
      </w:pPr>
      <w:r>
        <w:rPr>
          <w:rFonts w:ascii="標楷體" w:eastAsia="標楷體" w:hAnsi="標楷體"/>
          <w:szCs w:val="24"/>
        </w:rPr>
        <w:t>逾期繳納未滿一個月者，照該期欠額加收百分之二。</w:t>
      </w:r>
    </w:p>
    <w:p w:rsidR="00DE4AA2" w:rsidRDefault="00BE40B7">
      <w:pPr>
        <w:pStyle w:val="ab"/>
        <w:numPr>
          <w:ilvl w:val="0"/>
          <w:numId w:val="18"/>
        </w:numPr>
        <w:wordWrap w:val="0"/>
        <w:spacing w:line="320" w:lineRule="exact"/>
        <w:ind w:left="2552" w:hanging="284"/>
        <w:rPr>
          <w:rFonts w:ascii="標楷體" w:eastAsia="標楷體" w:hAnsi="標楷體"/>
          <w:szCs w:val="24"/>
        </w:rPr>
      </w:pPr>
      <w:r>
        <w:rPr>
          <w:rFonts w:ascii="標楷體" w:eastAsia="標楷體" w:hAnsi="標楷體"/>
          <w:szCs w:val="24"/>
        </w:rPr>
        <w:t>逾期繳納在一個月以上未滿二個月者，照該期欠額加收百分之四。</w:t>
      </w:r>
    </w:p>
    <w:p w:rsidR="00DE4AA2" w:rsidRDefault="00BE40B7">
      <w:pPr>
        <w:pStyle w:val="ab"/>
        <w:numPr>
          <w:ilvl w:val="0"/>
          <w:numId w:val="18"/>
        </w:numPr>
        <w:wordWrap w:val="0"/>
        <w:spacing w:line="320" w:lineRule="exact"/>
        <w:ind w:left="2552" w:hanging="284"/>
        <w:rPr>
          <w:rFonts w:ascii="標楷體" w:eastAsia="標楷體" w:hAnsi="標楷體"/>
          <w:szCs w:val="24"/>
        </w:rPr>
      </w:pPr>
      <w:r>
        <w:rPr>
          <w:rFonts w:ascii="標楷體" w:eastAsia="標楷體" w:hAnsi="標楷體"/>
          <w:szCs w:val="24"/>
        </w:rPr>
        <w:t>逾期繳納在二個月以上未滿三個月者，照該期欠額加收百分之十。</w:t>
      </w:r>
    </w:p>
    <w:p w:rsidR="00DE4AA2" w:rsidRDefault="00BE40B7">
      <w:pPr>
        <w:pStyle w:val="ab"/>
        <w:numPr>
          <w:ilvl w:val="0"/>
          <w:numId w:val="18"/>
        </w:numPr>
        <w:wordWrap w:val="0"/>
        <w:spacing w:line="320" w:lineRule="exact"/>
        <w:ind w:left="2552" w:hanging="284"/>
        <w:rPr>
          <w:rFonts w:ascii="標楷體" w:eastAsia="標楷體" w:hAnsi="標楷體"/>
          <w:szCs w:val="24"/>
        </w:rPr>
      </w:pPr>
      <w:r>
        <w:rPr>
          <w:rFonts w:ascii="標楷體" w:eastAsia="標楷體" w:hAnsi="標楷體"/>
          <w:szCs w:val="24"/>
        </w:rPr>
        <w:t>逾期繳納在三個月以上未滿四個月者，照該期欠額加收百分之十五。</w:t>
      </w:r>
    </w:p>
    <w:p w:rsidR="00DE4AA2" w:rsidRDefault="00BE40B7">
      <w:pPr>
        <w:pStyle w:val="ab"/>
        <w:numPr>
          <w:ilvl w:val="0"/>
          <w:numId w:val="18"/>
        </w:numPr>
        <w:wordWrap w:val="0"/>
        <w:spacing w:line="320" w:lineRule="exact"/>
        <w:ind w:left="2552" w:hanging="284"/>
        <w:rPr>
          <w:rFonts w:ascii="標楷體" w:eastAsia="標楷體" w:hAnsi="標楷體"/>
          <w:szCs w:val="24"/>
        </w:rPr>
      </w:pPr>
      <w:r>
        <w:rPr>
          <w:rFonts w:ascii="標楷體" w:eastAsia="標楷體" w:hAnsi="標楷體"/>
          <w:szCs w:val="24"/>
        </w:rPr>
        <w:t>逾期繳納達四個月以上者，照該期欠額加收百分之二十，另每逾一個</w:t>
      </w:r>
      <w:r>
        <w:rPr>
          <w:rFonts w:ascii="標楷體" w:eastAsia="標楷體" w:hAnsi="標楷體"/>
          <w:szCs w:val="24"/>
        </w:rPr>
        <w:lastRenderedPageBreak/>
        <w:t>月，再加收百分之五，最高以該期欠額之一倍為限。</w:t>
      </w:r>
    </w:p>
    <w:p w:rsidR="00DE4AA2" w:rsidRDefault="00BE40B7">
      <w:pPr>
        <w:pStyle w:val="ab"/>
        <w:numPr>
          <w:ilvl w:val="0"/>
          <w:numId w:val="17"/>
        </w:numPr>
        <w:wordWrap w:val="0"/>
        <w:spacing w:line="320" w:lineRule="exact"/>
        <w:ind w:left="2268" w:hanging="567"/>
        <w:rPr>
          <w:rFonts w:ascii="標楷體" w:eastAsia="標楷體" w:hAnsi="標楷體"/>
          <w:szCs w:val="24"/>
        </w:rPr>
      </w:pPr>
      <w:r>
        <w:rPr>
          <w:rFonts w:ascii="標楷體" w:eastAsia="標楷體" w:hAnsi="標楷體"/>
          <w:szCs w:val="24"/>
        </w:rPr>
        <w:t>未能於本契約第四條第一款規定期間完成並取得台灣電力股份有限公司核發之完成併聯試運轉作業相關證明文件，並送甲方核定設備設置容量，每逾一日，按未完成應設置容量百分比乘以履約保證金除以設置期限（簽約次日起至應設置完成日）計算逾期違約金，本款逾期違約金以履約保證金之20%為上限。</w:t>
      </w:r>
    </w:p>
    <w:p w:rsidR="00DE4AA2" w:rsidRDefault="00BE40B7">
      <w:pPr>
        <w:pStyle w:val="ab"/>
        <w:numPr>
          <w:ilvl w:val="0"/>
          <w:numId w:val="17"/>
        </w:numPr>
        <w:wordWrap w:val="0"/>
        <w:spacing w:line="320" w:lineRule="exact"/>
        <w:ind w:left="2268" w:hanging="567"/>
        <w:rPr>
          <w:rFonts w:ascii="標楷體" w:eastAsia="標楷體" w:hAnsi="標楷體"/>
          <w:szCs w:val="24"/>
        </w:rPr>
      </w:pPr>
      <w:r>
        <w:rPr>
          <w:rFonts w:ascii="標楷體" w:eastAsia="標楷體" w:hAnsi="標楷體"/>
          <w:szCs w:val="24"/>
        </w:rPr>
        <w:t>未能於本契約第四條第二款規定期間完成辦理本套設備公民參與程序者，甲方得視情況予以解約並不負擔賠償責任，或不解約提高房地使用回饋金回饋百分比至15%(自逾期日當日起，未滿1月按逾期日數比例計算)。但有正當理由者得報請甲方展延一年。</w:t>
      </w:r>
    </w:p>
    <w:p w:rsidR="00DE4AA2" w:rsidRDefault="00BE40B7">
      <w:pPr>
        <w:pStyle w:val="ab"/>
        <w:numPr>
          <w:ilvl w:val="0"/>
          <w:numId w:val="17"/>
        </w:numPr>
        <w:wordWrap w:val="0"/>
        <w:spacing w:line="320" w:lineRule="exact"/>
        <w:ind w:left="2268" w:hanging="567"/>
        <w:rPr>
          <w:rFonts w:ascii="標楷體" w:eastAsia="標楷體" w:hAnsi="標楷體"/>
          <w:szCs w:val="24"/>
        </w:rPr>
      </w:pPr>
      <w:r>
        <w:rPr>
          <w:rFonts w:ascii="標楷體" w:eastAsia="標楷體" w:hAnsi="標楷體"/>
          <w:szCs w:val="24"/>
        </w:rPr>
        <w:t>經甲方核定完成太陽光電發電設備設置後，公用房地所提供設置之太陽光電發電設備發生故障，經甲方通知限期改善，逾期未完成改善，每一個設置地點，每逾一日罰款新臺幣500元。違約情節重大者，甲方得終止契約，並沒收履約保證金。</w:t>
      </w:r>
    </w:p>
    <w:p w:rsidR="00DE4AA2" w:rsidRDefault="00BE40B7">
      <w:pPr>
        <w:pStyle w:val="ab"/>
        <w:wordWrap w:val="0"/>
        <w:spacing w:line="320" w:lineRule="exact"/>
        <w:ind w:left="1680" w:hanging="1680"/>
        <w:rPr>
          <w:rFonts w:ascii="標楷體" w:eastAsia="標楷體" w:hAnsi="標楷體"/>
          <w:szCs w:val="24"/>
        </w:rPr>
      </w:pPr>
      <w:r>
        <w:rPr>
          <w:rFonts w:ascii="標楷體" w:eastAsia="標楷體" w:hAnsi="標楷體"/>
          <w:szCs w:val="24"/>
        </w:rPr>
        <w:t>第　八　條　　履約保證金</w:t>
      </w:r>
    </w:p>
    <w:p w:rsidR="00DE4AA2" w:rsidRDefault="00BE40B7">
      <w:pPr>
        <w:pStyle w:val="ab"/>
        <w:numPr>
          <w:ilvl w:val="0"/>
          <w:numId w:val="19"/>
        </w:numPr>
        <w:wordWrap w:val="0"/>
        <w:spacing w:line="320" w:lineRule="exact"/>
        <w:ind w:left="2268" w:hanging="567"/>
      </w:pPr>
      <w:r>
        <w:rPr>
          <w:rFonts w:ascii="標楷體" w:eastAsia="標楷體" w:hAnsi="標楷體"/>
          <w:szCs w:val="24"/>
        </w:rPr>
        <w:t>本契約應繳交履約保證金：新臺幣</w:t>
      </w:r>
      <w:r>
        <w:rPr>
          <w:rFonts w:ascii="標楷體" w:eastAsia="標楷體" w:hAnsi="標楷體"/>
          <w:szCs w:val="24"/>
          <w:u w:val="single"/>
        </w:rPr>
        <w:t>3</w:t>
      </w:r>
      <w:r>
        <w:rPr>
          <w:rFonts w:ascii="標楷體" w:eastAsia="標楷體" w:hAnsi="標楷體"/>
          <w:szCs w:val="24"/>
        </w:rPr>
        <w:t>萬元整。</w:t>
      </w:r>
    </w:p>
    <w:p w:rsidR="00DE4AA2" w:rsidRDefault="00BE40B7">
      <w:pPr>
        <w:pStyle w:val="ab"/>
        <w:numPr>
          <w:ilvl w:val="0"/>
          <w:numId w:val="19"/>
        </w:numPr>
        <w:wordWrap w:val="0"/>
        <w:spacing w:line="320" w:lineRule="exact"/>
        <w:ind w:left="2268" w:hanging="567"/>
      </w:pPr>
      <w:r>
        <w:rPr>
          <w:rFonts w:ascii="標楷體" w:eastAsia="標楷體" w:hAnsi="標楷體"/>
          <w:szCs w:val="24"/>
        </w:rPr>
        <w:t>乙方應繳之履約保證金，應於決標日之次日起20日內（</w:t>
      </w:r>
      <w:r>
        <w:rPr>
          <w:rFonts w:ascii="標楷體" w:eastAsia="標楷體" w:hAnsi="標楷體"/>
          <w:szCs w:val="24"/>
          <w:shd w:val="clear" w:color="auto" w:fill="FFFF00"/>
        </w:rPr>
        <w:t>即民國</w:t>
      </w:r>
      <w:r>
        <w:rPr>
          <w:rFonts w:ascii="標楷體" w:eastAsia="標楷體" w:hAnsi="標楷體"/>
          <w:szCs w:val="24"/>
          <w:u w:val="single"/>
          <w:shd w:val="clear" w:color="auto" w:fill="FFFF00"/>
        </w:rPr>
        <w:t xml:space="preserve">   </w:t>
      </w:r>
      <w:r>
        <w:rPr>
          <w:rFonts w:ascii="標楷體" w:eastAsia="標楷體" w:hAnsi="標楷體"/>
          <w:szCs w:val="24"/>
          <w:shd w:val="clear" w:color="auto" w:fill="FFFF00"/>
        </w:rPr>
        <w:t>年   月</w:t>
      </w:r>
      <w:r>
        <w:rPr>
          <w:rFonts w:ascii="標楷體" w:eastAsia="標楷體" w:hAnsi="標楷體"/>
          <w:szCs w:val="24"/>
          <w:u w:val="single"/>
          <w:shd w:val="clear" w:color="auto" w:fill="FFFF00"/>
        </w:rPr>
        <w:t xml:space="preserve">   </w:t>
      </w:r>
      <w:r>
        <w:rPr>
          <w:rFonts w:ascii="標楷體" w:eastAsia="標楷體" w:hAnsi="標楷體"/>
          <w:szCs w:val="24"/>
          <w:shd w:val="clear" w:color="auto" w:fill="FFFF00"/>
        </w:rPr>
        <w:t>日以前</w:t>
      </w:r>
      <w:r>
        <w:rPr>
          <w:rFonts w:ascii="標楷體" w:eastAsia="標楷體" w:hAnsi="標楷體"/>
          <w:szCs w:val="24"/>
        </w:rPr>
        <w:t>，末日為例假日者順延1日）繳交，並自行選擇以現金、金融機構簽發之本票或支票、保付支票、設定質權之金融機構定期存單、無記名政府公債、郵政匯票、銀行開發或保兌之不可撤銷擔保信用狀、保險公司之連帶保證保險單或銀行之書面連帶保證方式繳納履約保證金。若以現金繳納，需將履約保證金存入甲方專戶內，由甲方開立收據予乙方。</w:t>
      </w:r>
    </w:p>
    <w:p w:rsidR="00DE4AA2" w:rsidRDefault="00BE40B7">
      <w:pPr>
        <w:pStyle w:val="ab"/>
        <w:wordWrap w:val="0"/>
        <w:spacing w:line="320" w:lineRule="exact"/>
        <w:ind w:left="2268"/>
      </w:pPr>
      <w:r>
        <w:rPr>
          <w:rFonts w:ascii="標楷體" w:eastAsia="標楷體" w:hAnsi="標楷體"/>
          <w:szCs w:val="24"/>
        </w:rPr>
        <w:t>【專戶名稱：</w:t>
      </w:r>
      <w:r w:rsidR="00031D1A" w:rsidRPr="00031D1A">
        <w:rPr>
          <w:rFonts w:ascii="標楷體" w:eastAsia="標楷體" w:hAnsi="標楷體" w:hint="eastAsia"/>
          <w:u w:val="single"/>
          <w:shd w:val="clear" w:color="auto" w:fill="FFFF00"/>
        </w:rPr>
        <w:t>台北富邦銀行 市府分行 分行 台北富邦商業銀行公庫處臺北市長安國民小學特種基金保管款(帳號：1605468190000-4) 帳號</w:t>
      </w:r>
      <w:r>
        <w:rPr>
          <w:rFonts w:ascii="標楷體" w:eastAsia="標楷體" w:hAnsi="標楷體"/>
          <w:szCs w:val="24"/>
        </w:rPr>
        <w:t>】</w:t>
      </w:r>
    </w:p>
    <w:p w:rsidR="00DE4AA2" w:rsidRDefault="00BE40B7">
      <w:pPr>
        <w:pStyle w:val="ab"/>
        <w:numPr>
          <w:ilvl w:val="0"/>
          <w:numId w:val="19"/>
        </w:numPr>
        <w:wordWrap w:val="0"/>
        <w:spacing w:line="320" w:lineRule="exact"/>
        <w:ind w:left="2268" w:hanging="567"/>
        <w:rPr>
          <w:rFonts w:ascii="標楷體" w:eastAsia="標楷體" w:hAnsi="標楷體"/>
          <w:szCs w:val="24"/>
        </w:rPr>
      </w:pPr>
      <w:r>
        <w:rPr>
          <w:rFonts w:ascii="標楷體" w:eastAsia="標楷體" w:hAnsi="標楷體"/>
          <w:szCs w:val="24"/>
        </w:rPr>
        <w:t>前款履約保證金之繳交如採定期存單方式，其質權設定之申請書需表明之事項如附件一所示。</w:t>
      </w:r>
    </w:p>
    <w:p w:rsidR="00DE4AA2" w:rsidRDefault="00BE40B7">
      <w:pPr>
        <w:pStyle w:val="ab"/>
        <w:numPr>
          <w:ilvl w:val="0"/>
          <w:numId w:val="19"/>
        </w:numPr>
        <w:wordWrap w:val="0"/>
        <w:spacing w:line="320" w:lineRule="exact"/>
        <w:ind w:left="2268" w:hanging="567"/>
        <w:rPr>
          <w:rFonts w:ascii="標楷體" w:eastAsia="標楷體" w:hAnsi="標楷體"/>
          <w:szCs w:val="24"/>
        </w:rPr>
      </w:pPr>
      <w:r>
        <w:rPr>
          <w:rFonts w:ascii="標楷體" w:eastAsia="標楷體" w:hAnsi="標楷體"/>
          <w:szCs w:val="24"/>
        </w:rPr>
        <w:t>所繳押標金得抵繳履約保證金。</w:t>
      </w:r>
    </w:p>
    <w:p w:rsidR="00DE4AA2" w:rsidRDefault="00BE40B7">
      <w:pPr>
        <w:pStyle w:val="ab"/>
        <w:wordWrap w:val="0"/>
        <w:spacing w:line="320" w:lineRule="exact"/>
        <w:ind w:left="1680" w:hanging="1680"/>
        <w:rPr>
          <w:rFonts w:ascii="標楷體" w:eastAsia="標楷體" w:hAnsi="標楷體"/>
          <w:szCs w:val="24"/>
        </w:rPr>
      </w:pPr>
      <w:r>
        <w:rPr>
          <w:rFonts w:ascii="標楷體" w:eastAsia="標楷體" w:hAnsi="標楷體"/>
          <w:szCs w:val="24"/>
        </w:rPr>
        <w:t>第　九　條　　使用公用房地之注意義務</w:t>
      </w:r>
    </w:p>
    <w:p w:rsidR="00DE4AA2" w:rsidRDefault="00BE40B7">
      <w:pPr>
        <w:pStyle w:val="ab"/>
        <w:numPr>
          <w:ilvl w:val="0"/>
          <w:numId w:val="20"/>
        </w:numPr>
        <w:wordWrap w:val="0"/>
        <w:spacing w:line="320" w:lineRule="exact"/>
        <w:ind w:left="2268" w:hanging="567"/>
        <w:rPr>
          <w:rFonts w:ascii="標楷體" w:eastAsia="標楷體" w:hAnsi="標楷體"/>
          <w:szCs w:val="24"/>
        </w:rPr>
      </w:pPr>
      <w:r>
        <w:rPr>
          <w:rFonts w:ascii="標楷體" w:eastAsia="標楷體" w:hAnsi="標楷體"/>
          <w:szCs w:val="24"/>
        </w:rPr>
        <w:t>本公用房地以現況點交，甲方僅提供現有場地供乙方使用。</w:t>
      </w:r>
    </w:p>
    <w:p w:rsidR="00DE4AA2" w:rsidRDefault="00BE40B7">
      <w:pPr>
        <w:pStyle w:val="ab"/>
        <w:numPr>
          <w:ilvl w:val="0"/>
          <w:numId w:val="20"/>
        </w:numPr>
        <w:wordWrap w:val="0"/>
        <w:spacing w:line="320" w:lineRule="exact"/>
        <w:ind w:left="2268" w:hanging="567"/>
      </w:pPr>
      <w:r>
        <w:rPr>
          <w:rFonts w:ascii="標楷體" w:eastAsia="標楷體" w:hAnsi="標楷體"/>
          <w:strike/>
          <w:szCs w:val="24"/>
        </w:rPr>
        <w:t>為使甲方有效管理太陽光電發電設備設置現況，乙方應於申請再生能源發電設備同意備案前(最遲不得逾決標次日起</w:t>
      </w:r>
      <w:r>
        <w:rPr>
          <w:rFonts w:ascii="標楷體" w:eastAsia="標楷體" w:hAnsi="標楷體"/>
          <w:strike/>
          <w:szCs w:val="24"/>
          <w:shd w:val="clear" w:color="auto" w:fill="FFFFFF"/>
        </w:rPr>
        <w:t xml:space="preserve"> 3</w:t>
      </w:r>
      <w:r>
        <w:rPr>
          <w:rFonts w:ascii="標楷體" w:eastAsia="標楷體" w:hAnsi="標楷體"/>
          <w:strike/>
          <w:szCs w:val="24"/>
        </w:rPr>
        <w:t>個月)，填妥使用標的清單，並將該清單行文至甲方核定。</w:t>
      </w:r>
    </w:p>
    <w:p w:rsidR="00DE4AA2" w:rsidRDefault="00BE40B7">
      <w:pPr>
        <w:pStyle w:val="ab"/>
        <w:numPr>
          <w:ilvl w:val="0"/>
          <w:numId w:val="20"/>
        </w:numPr>
        <w:wordWrap w:val="0"/>
        <w:spacing w:line="320" w:lineRule="exact"/>
        <w:ind w:left="2268" w:hanging="567"/>
        <w:rPr>
          <w:rFonts w:ascii="標楷體" w:eastAsia="標楷體" w:hAnsi="標楷體"/>
          <w:strike/>
          <w:szCs w:val="24"/>
        </w:rPr>
      </w:pPr>
      <w:r>
        <w:rPr>
          <w:rFonts w:ascii="標楷體" w:eastAsia="標楷體" w:hAnsi="標楷體"/>
          <w:strike/>
          <w:szCs w:val="24"/>
        </w:rPr>
        <w:t>前款使用標的清單應包含下列內容：</w:t>
      </w:r>
    </w:p>
    <w:p w:rsidR="00DE4AA2" w:rsidRDefault="00BE40B7">
      <w:pPr>
        <w:pStyle w:val="ab"/>
        <w:numPr>
          <w:ilvl w:val="0"/>
          <w:numId w:val="21"/>
        </w:numPr>
        <w:wordWrap w:val="0"/>
        <w:spacing w:line="320" w:lineRule="exact"/>
        <w:ind w:left="2552" w:hanging="284"/>
        <w:rPr>
          <w:rFonts w:ascii="標楷體" w:eastAsia="標楷體" w:hAnsi="標楷體"/>
          <w:strike/>
          <w:szCs w:val="24"/>
        </w:rPr>
      </w:pPr>
      <w:r>
        <w:rPr>
          <w:rFonts w:ascii="標楷體" w:eastAsia="標楷體" w:hAnsi="標楷體"/>
          <w:strike/>
          <w:szCs w:val="24"/>
        </w:rPr>
        <w:t>管理機關及聯絡窗口。</w:t>
      </w:r>
    </w:p>
    <w:p w:rsidR="00DE4AA2" w:rsidRDefault="00BE40B7">
      <w:pPr>
        <w:pStyle w:val="ab"/>
        <w:numPr>
          <w:ilvl w:val="0"/>
          <w:numId w:val="21"/>
        </w:numPr>
        <w:wordWrap w:val="0"/>
        <w:spacing w:line="320" w:lineRule="exact"/>
        <w:ind w:left="2552" w:hanging="284"/>
        <w:rPr>
          <w:rFonts w:ascii="標楷體" w:eastAsia="標楷體" w:hAnsi="標楷體"/>
          <w:strike/>
          <w:szCs w:val="24"/>
        </w:rPr>
      </w:pPr>
      <w:r>
        <w:rPr>
          <w:rFonts w:ascii="標楷體" w:eastAsia="標楷體" w:hAnsi="標楷體"/>
          <w:strike/>
          <w:szCs w:val="24"/>
        </w:rPr>
        <w:t>建物現況。</w:t>
      </w:r>
    </w:p>
    <w:p w:rsidR="00DE4AA2" w:rsidRDefault="00BE40B7">
      <w:pPr>
        <w:pStyle w:val="ab"/>
        <w:numPr>
          <w:ilvl w:val="0"/>
          <w:numId w:val="21"/>
        </w:numPr>
        <w:wordWrap w:val="0"/>
        <w:spacing w:line="320" w:lineRule="exact"/>
        <w:ind w:left="2552" w:hanging="284"/>
        <w:rPr>
          <w:rFonts w:ascii="標楷體" w:eastAsia="標楷體" w:hAnsi="標楷體"/>
          <w:strike/>
          <w:szCs w:val="24"/>
        </w:rPr>
      </w:pPr>
      <w:r>
        <w:rPr>
          <w:rFonts w:ascii="標楷體" w:eastAsia="標楷體" w:hAnsi="標楷體"/>
          <w:strike/>
          <w:szCs w:val="24"/>
        </w:rPr>
        <w:t>設置地址。</w:t>
      </w:r>
    </w:p>
    <w:p w:rsidR="00DE4AA2" w:rsidRDefault="00BE40B7">
      <w:pPr>
        <w:pStyle w:val="ab"/>
        <w:numPr>
          <w:ilvl w:val="0"/>
          <w:numId w:val="21"/>
        </w:numPr>
        <w:wordWrap w:val="0"/>
        <w:spacing w:line="320" w:lineRule="exact"/>
        <w:ind w:left="2552" w:hanging="284"/>
        <w:rPr>
          <w:rFonts w:ascii="標楷體" w:eastAsia="標楷體" w:hAnsi="標楷體"/>
          <w:strike/>
          <w:szCs w:val="24"/>
        </w:rPr>
      </w:pPr>
      <w:r>
        <w:rPr>
          <w:rFonts w:ascii="標楷體" w:eastAsia="標楷體" w:hAnsi="標楷體"/>
          <w:strike/>
          <w:szCs w:val="24"/>
        </w:rPr>
        <w:t>設置容量。</w:t>
      </w:r>
    </w:p>
    <w:p w:rsidR="00DE4AA2" w:rsidRDefault="00BE40B7">
      <w:pPr>
        <w:pStyle w:val="ab"/>
        <w:numPr>
          <w:ilvl w:val="0"/>
          <w:numId w:val="21"/>
        </w:numPr>
        <w:wordWrap w:val="0"/>
        <w:spacing w:line="320" w:lineRule="exact"/>
        <w:ind w:left="2552" w:hanging="284"/>
        <w:rPr>
          <w:rFonts w:ascii="標楷體" w:eastAsia="標楷體" w:hAnsi="標楷體"/>
          <w:strike/>
          <w:szCs w:val="24"/>
        </w:rPr>
      </w:pPr>
      <w:r>
        <w:rPr>
          <w:rFonts w:ascii="標楷體" w:eastAsia="標楷體" w:hAnsi="標楷體"/>
          <w:strike/>
          <w:szCs w:val="24"/>
        </w:rPr>
        <w:t>設置建築物之坐落地號。</w:t>
      </w:r>
    </w:p>
    <w:p w:rsidR="00DE4AA2" w:rsidRDefault="00BE40B7">
      <w:pPr>
        <w:pStyle w:val="ab"/>
        <w:numPr>
          <w:ilvl w:val="0"/>
          <w:numId w:val="21"/>
        </w:numPr>
        <w:wordWrap w:val="0"/>
        <w:spacing w:line="320" w:lineRule="exact"/>
        <w:ind w:left="2552" w:hanging="284"/>
        <w:rPr>
          <w:rFonts w:ascii="標楷體" w:eastAsia="標楷體" w:hAnsi="標楷體"/>
          <w:strike/>
          <w:szCs w:val="24"/>
        </w:rPr>
      </w:pPr>
      <w:r>
        <w:rPr>
          <w:rFonts w:ascii="標楷體" w:eastAsia="標楷體" w:hAnsi="標楷體"/>
          <w:strike/>
          <w:szCs w:val="24"/>
        </w:rPr>
        <w:t>設置建築物之建號。</w:t>
      </w:r>
    </w:p>
    <w:p w:rsidR="00DE4AA2" w:rsidRDefault="00BE40B7">
      <w:pPr>
        <w:pStyle w:val="ab"/>
        <w:numPr>
          <w:ilvl w:val="0"/>
          <w:numId w:val="21"/>
        </w:numPr>
        <w:wordWrap w:val="0"/>
        <w:spacing w:line="320" w:lineRule="exact"/>
        <w:ind w:left="2552" w:hanging="284"/>
        <w:rPr>
          <w:rFonts w:ascii="標楷體" w:eastAsia="標楷體" w:hAnsi="標楷體"/>
          <w:strike/>
          <w:szCs w:val="24"/>
        </w:rPr>
      </w:pPr>
      <w:r>
        <w:rPr>
          <w:rFonts w:ascii="標楷體" w:eastAsia="標楷體" w:hAnsi="標楷體"/>
          <w:strike/>
          <w:szCs w:val="24"/>
        </w:rPr>
        <w:t>設置面積。</w:t>
      </w:r>
    </w:p>
    <w:p w:rsidR="00DE4AA2" w:rsidRDefault="00BE40B7">
      <w:pPr>
        <w:pStyle w:val="ab"/>
        <w:numPr>
          <w:ilvl w:val="0"/>
          <w:numId w:val="21"/>
        </w:numPr>
        <w:wordWrap w:val="0"/>
        <w:spacing w:line="320" w:lineRule="exact"/>
        <w:ind w:left="2552" w:hanging="284"/>
        <w:rPr>
          <w:rFonts w:ascii="標楷體" w:eastAsia="標楷體" w:hAnsi="標楷體"/>
          <w:strike/>
          <w:szCs w:val="24"/>
        </w:rPr>
      </w:pPr>
      <w:r>
        <w:rPr>
          <w:rFonts w:ascii="標楷體" w:eastAsia="標楷體" w:hAnsi="標楷體"/>
          <w:strike/>
          <w:szCs w:val="24"/>
        </w:rPr>
        <w:t>太陽光電發電設備廠牌、型號、尺寸(mm)、功率(W)、效率(%)。</w:t>
      </w:r>
    </w:p>
    <w:p w:rsidR="00DE4AA2" w:rsidRDefault="00BE40B7">
      <w:pPr>
        <w:pStyle w:val="ab"/>
        <w:numPr>
          <w:ilvl w:val="0"/>
          <w:numId w:val="21"/>
        </w:numPr>
        <w:wordWrap w:val="0"/>
        <w:spacing w:line="320" w:lineRule="exact"/>
        <w:ind w:left="2552" w:hanging="284"/>
        <w:rPr>
          <w:rFonts w:ascii="標楷體" w:eastAsia="標楷體" w:hAnsi="標楷體"/>
          <w:strike/>
          <w:szCs w:val="24"/>
        </w:rPr>
      </w:pPr>
      <w:r>
        <w:rPr>
          <w:rFonts w:ascii="標楷體" w:eastAsia="標楷體" w:hAnsi="標楷體"/>
          <w:strike/>
          <w:szCs w:val="24"/>
        </w:rPr>
        <w:t>其他經甲方認為應載明之事項。</w:t>
      </w:r>
    </w:p>
    <w:p w:rsidR="00DE4AA2" w:rsidRDefault="00BE40B7">
      <w:pPr>
        <w:pStyle w:val="ab"/>
        <w:numPr>
          <w:ilvl w:val="0"/>
          <w:numId w:val="20"/>
        </w:numPr>
        <w:wordWrap w:val="0"/>
        <w:spacing w:line="320" w:lineRule="exact"/>
        <w:ind w:left="2268" w:hanging="567"/>
        <w:rPr>
          <w:rFonts w:ascii="標楷體" w:eastAsia="標楷體" w:hAnsi="標楷體"/>
          <w:szCs w:val="24"/>
        </w:rPr>
      </w:pPr>
      <w:r>
        <w:rPr>
          <w:rFonts w:ascii="標楷體" w:eastAsia="標楷體" w:hAnsi="標楷體"/>
          <w:szCs w:val="24"/>
        </w:rPr>
        <w:t>乙方使用公用房地，應遵守下列規定：</w:t>
      </w:r>
    </w:p>
    <w:p w:rsidR="00DE4AA2" w:rsidRDefault="00BE40B7">
      <w:pPr>
        <w:pStyle w:val="ab"/>
        <w:numPr>
          <w:ilvl w:val="0"/>
          <w:numId w:val="22"/>
        </w:numPr>
        <w:wordWrap w:val="0"/>
        <w:spacing w:line="320" w:lineRule="exact"/>
        <w:ind w:left="2552" w:hanging="284"/>
        <w:rPr>
          <w:rFonts w:ascii="標楷體" w:eastAsia="標楷體" w:hAnsi="標楷體"/>
          <w:szCs w:val="24"/>
        </w:rPr>
      </w:pPr>
      <w:r>
        <w:rPr>
          <w:rFonts w:ascii="標楷體" w:eastAsia="標楷體" w:hAnsi="標楷體"/>
          <w:szCs w:val="24"/>
        </w:rPr>
        <w:t>使用期間有關建物安全維護、太陽光電發電設備維護管理及公共安全</w:t>
      </w:r>
      <w:r>
        <w:rPr>
          <w:rFonts w:ascii="標楷體" w:eastAsia="標楷體" w:hAnsi="標楷體"/>
          <w:szCs w:val="24"/>
        </w:rPr>
        <w:lastRenderedPageBreak/>
        <w:t>意外之防護均由乙方負責。其造成人員傷亡、財物毀損或管理機關建物、設備受損，應由乙方全權負責，若因而造成甲方或管理機關被訴或被求償者，乙方應賠償甲方或管理機關所受一切損害。</w:t>
      </w:r>
    </w:p>
    <w:p w:rsidR="00DE4AA2" w:rsidRDefault="00BE40B7">
      <w:pPr>
        <w:pStyle w:val="ab"/>
        <w:numPr>
          <w:ilvl w:val="0"/>
          <w:numId w:val="22"/>
        </w:numPr>
        <w:wordWrap w:val="0"/>
        <w:spacing w:line="320" w:lineRule="exact"/>
        <w:ind w:left="2552" w:hanging="284"/>
        <w:rPr>
          <w:rFonts w:ascii="標楷體" w:eastAsia="標楷體" w:hAnsi="標楷體"/>
          <w:szCs w:val="24"/>
        </w:rPr>
      </w:pPr>
      <w:r>
        <w:rPr>
          <w:rFonts w:ascii="標楷體" w:eastAsia="標楷體" w:hAnsi="標楷體"/>
          <w:szCs w:val="24"/>
        </w:rPr>
        <w:t>乙方在公用房地使用範圍內設置太陽光電發電設備，應由乙方出資興建，興建前應計算建物之結構及承載力，須經由結構技師專業評估及簽證後，方可施工興建，並加強其防颱設計及防漏功能，不得影響建物之結構安全、原有設備及造成屋頂毀損滲漏。使用期間所發生之侵權、環保、人員傷亡、意外事件等，均由乙方自行處理，與甲方或管理機關無涉；若因而致甲方或管理機關損害者，甲方或管理機關得就損害金額請求乙方賠償。</w:t>
      </w:r>
    </w:p>
    <w:p w:rsidR="00DE4AA2" w:rsidRDefault="00BE40B7">
      <w:pPr>
        <w:pStyle w:val="ab"/>
        <w:numPr>
          <w:ilvl w:val="0"/>
          <w:numId w:val="22"/>
        </w:numPr>
        <w:wordWrap w:val="0"/>
        <w:spacing w:line="320" w:lineRule="exact"/>
        <w:ind w:left="2552" w:hanging="284"/>
        <w:rPr>
          <w:rFonts w:ascii="標楷體" w:eastAsia="標楷體" w:hAnsi="標楷體"/>
          <w:szCs w:val="24"/>
        </w:rPr>
      </w:pPr>
      <w:r>
        <w:rPr>
          <w:rFonts w:ascii="標楷體" w:eastAsia="標楷體" w:hAnsi="標楷體"/>
          <w:szCs w:val="24"/>
        </w:rPr>
        <w:t>乙方應以善良管理人之注意義務使用本契約所定公用房地。</w:t>
      </w:r>
    </w:p>
    <w:p w:rsidR="00DE4AA2" w:rsidRDefault="00BE40B7">
      <w:pPr>
        <w:pStyle w:val="ab"/>
        <w:numPr>
          <w:ilvl w:val="0"/>
          <w:numId w:val="22"/>
        </w:numPr>
        <w:wordWrap w:val="0"/>
        <w:spacing w:line="320" w:lineRule="exact"/>
        <w:ind w:left="2552" w:hanging="284"/>
        <w:rPr>
          <w:rFonts w:ascii="標楷體" w:eastAsia="標楷體" w:hAnsi="標楷體"/>
          <w:szCs w:val="24"/>
        </w:rPr>
      </w:pPr>
      <w:r>
        <w:rPr>
          <w:rFonts w:ascii="標楷體" w:eastAsia="標楷體" w:hAnsi="標楷體"/>
          <w:szCs w:val="24"/>
        </w:rPr>
        <w:t>乙方、乙方之受僱人，或其他經乙方允許使用本契約所定公用房地之人之故意或過失致房屋毀損、滅失時，乙方應負回復原狀或損害賠償責任，甲方或管理機關概不負責。使用公用房地因乙方之過失致失火而毀損、滅失者，乙方對於甲方或管理機關應負損害賠償責任。</w:t>
      </w:r>
    </w:p>
    <w:p w:rsidR="00DE4AA2" w:rsidRDefault="00BE40B7">
      <w:pPr>
        <w:pStyle w:val="ab"/>
        <w:numPr>
          <w:ilvl w:val="0"/>
          <w:numId w:val="22"/>
        </w:numPr>
        <w:wordWrap w:val="0"/>
        <w:spacing w:line="320" w:lineRule="exact"/>
        <w:ind w:left="2552" w:hanging="284"/>
        <w:rPr>
          <w:rFonts w:ascii="標楷體" w:eastAsia="標楷體" w:hAnsi="標楷體"/>
          <w:szCs w:val="24"/>
        </w:rPr>
      </w:pPr>
      <w:r>
        <w:rPr>
          <w:rFonts w:ascii="標楷體" w:eastAsia="標楷體" w:hAnsi="標楷體"/>
          <w:szCs w:val="24"/>
        </w:rPr>
        <w:t>前目所定之人使用公用房地致第三人遭受損害時，乙方應對於該第三人負損害賠償責任，甲方或管理機關概不負責。如因此致甲方或管理機關遭受損害或第三人向甲方或管理機關請求賠償損害（包括但不限於國家賠償責任），乙方應賠償甲方或管理機關之損害。</w:t>
      </w:r>
    </w:p>
    <w:p w:rsidR="00DE4AA2" w:rsidRDefault="00BE40B7">
      <w:pPr>
        <w:pStyle w:val="ab"/>
        <w:numPr>
          <w:ilvl w:val="0"/>
          <w:numId w:val="22"/>
        </w:numPr>
        <w:wordWrap w:val="0"/>
        <w:spacing w:line="320" w:lineRule="exact"/>
        <w:ind w:left="2552" w:hanging="338"/>
        <w:rPr>
          <w:rFonts w:ascii="標楷體" w:eastAsia="標楷體" w:hAnsi="標楷體"/>
          <w:szCs w:val="24"/>
        </w:rPr>
      </w:pPr>
      <w:r>
        <w:rPr>
          <w:rFonts w:ascii="標楷體" w:eastAsia="標楷體" w:hAnsi="標楷體"/>
          <w:szCs w:val="24"/>
        </w:rPr>
        <w:t>乙方施工及維護時應依「施工及維護期間注意及配合事項」（如附件二）辦理，維護管理機關環境品質及安全。</w:t>
      </w:r>
    </w:p>
    <w:p w:rsidR="00DE4AA2" w:rsidRDefault="00BE40B7">
      <w:pPr>
        <w:pStyle w:val="ab"/>
        <w:numPr>
          <w:ilvl w:val="0"/>
          <w:numId w:val="20"/>
        </w:numPr>
        <w:wordWrap w:val="0"/>
        <w:spacing w:line="320" w:lineRule="exact"/>
        <w:ind w:left="2268" w:hanging="567"/>
        <w:rPr>
          <w:rFonts w:ascii="標楷體" w:eastAsia="標楷體" w:hAnsi="標楷體"/>
          <w:szCs w:val="24"/>
        </w:rPr>
      </w:pPr>
      <w:r>
        <w:rPr>
          <w:rFonts w:ascii="標楷體" w:eastAsia="標楷體" w:hAnsi="標楷體"/>
          <w:szCs w:val="24"/>
        </w:rPr>
        <w:t>甲方或甲方委託之第三方公正單位得定期或不定期派員至乙方設置太陽光電發電設備地點巡查，乙方不得規避、妨礙或拒絕。</w:t>
      </w:r>
    </w:p>
    <w:p w:rsidR="00DE4AA2" w:rsidRDefault="00BE40B7">
      <w:pPr>
        <w:pStyle w:val="ab"/>
        <w:numPr>
          <w:ilvl w:val="0"/>
          <w:numId w:val="20"/>
        </w:numPr>
        <w:wordWrap w:val="0"/>
        <w:spacing w:line="320" w:lineRule="exact"/>
        <w:ind w:left="2268" w:hanging="567"/>
      </w:pPr>
      <w:r>
        <w:rPr>
          <w:rFonts w:ascii="標楷體" w:eastAsia="標楷體" w:hAnsi="標楷體"/>
        </w:rPr>
        <w:t>甲方、管理機關或甲方指定之機關因辦理教學觀摩或其他因公務所需，需參訪太陽光電發電設備</w:t>
      </w:r>
      <w:r>
        <w:rPr>
          <w:rFonts w:ascii="標楷體" w:eastAsia="標楷體" w:hAnsi="標楷體" w:cs="DFKaiShu-SB-Estd-BF"/>
        </w:rPr>
        <w:t>設置地點，乙方應於現場協助導覽及說明，每年以不超過三次為原則。</w:t>
      </w:r>
    </w:p>
    <w:p w:rsidR="00DE4AA2" w:rsidRDefault="00BE40B7">
      <w:pPr>
        <w:pStyle w:val="ab"/>
        <w:wordWrap w:val="0"/>
        <w:spacing w:line="320" w:lineRule="exact"/>
        <w:ind w:left="1680" w:hanging="1680"/>
        <w:rPr>
          <w:rFonts w:ascii="標楷體" w:eastAsia="標楷體" w:hAnsi="標楷體"/>
          <w:szCs w:val="24"/>
        </w:rPr>
      </w:pPr>
      <w:r>
        <w:rPr>
          <w:rFonts w:ascii="標楷體" w:eastAsia="標楷體" w:hAnsi="標楷體"/>
          <w:szCs w:val="24"/>
        </w:rPr>
        <w:t>第  十  條　　不得影響環境</w:t>
      </w:r>
    </w:p>
    <w:p w:rsidR="00DE4AA2" w:rsidRDefault="00BE40B7">
      <w:pPr>
        <w:pStyle w:val="ab"/>
        <w:numPr>
          <w:ilvl w:val="0"/>
          <w:numId w:val="23"/>
        </w:numPr>
        <w:wordWrap w:val="0"/>
        <w:spacing w:line="320" w:lineRule="exact"/>
        <w:ind w:left="2268" w:hanging="567"/>
        <w:rPr>
          <w:rFonts w:ascii="標楷體" w:eastAsia="標楷體" w:hAnsi="標楷體"/>
          <w:szCs w:val="24"/>
        </w:rPr>
      </w:pPr>
      <w:r>
        <w:rPr>
          <w:rFonts w:ascii="標楷體" w:eastAsia="標楷體" w:hAnsi="標楷體"/>
          <w:szCs w:val="24"/>
        </w:rPr>
        <w:t>使用公用房地之安全，應由乙方負責，並作適當之安全措施，接受甲方、管理機關及主管機關檢查。</w:t>
      </w:r>
    </w:p>
    <w:p w:rsidR="00DE4AA2" w:rsidRDefault="00BE40B7">
      <w:pPr>
        <w:pStyle w:val="ab"/>
        <w:numPr>
          <w:ilvl w:val="0"/>
          <w:numId w:val="23"/>
        </w:numPr>
        <w:wordWrap w:val="0"/>
        <w:spacing w:line="320" w:lineRule="exact"/>
        <w:ind w:left="2268" w:hanging="567"/>
        <w:rPr>
          <w:rFonts w:ascii="標楷體" w:eastAsia="標楷體" w:hAnsi="標楷體"/>
          <w:szCs w:val="24"/>
        </w:rPr>
      </w:pPr>
      <w:r>
        <w:rPr>
          <w:rFonts w:ascii="標楷體" w:eastAsia="標楷體" w:hAnsi="標楷體"/>
          <w:szCs w:val="24"/>
        </w:rPr>
        <w:t>乙方應保持所使用之公用房地完整，並不得產生任何污染、髒亂或噪音等致影響附近居民生活環境。如構成危害或違法情事，乙方應自行負責處理，並負損害賠償責任，甲方或管理機關概不負責。如因此致甲方或管理機關遭受損害或第三人向甲方或管理機關請求賠償損害（包括但不限於國家賠償責任），乙方應賠償甲方或管理機關之損害。</w:t>
      </w:r>
    </w:p>
    <w:p w:rsidR="00DE4AA2" w:rsidRDefault="00BE40B7">
      <w:pPr>
        <w:pStyle w:val="ab"/>
        <w:numPr>
          <w:ilvl w:val="0"/>
          <w:numId w:val="23"/>
        </w:numPr>
        <w:wordWrap w:val="0"/>
        <w:spacing w:line="320" w:lineRule="exact"/>
        <w:ind w:left="2268" w:hanging="567"/>
        <w:rPr>
          <w:rFonts w:ascii="標楷體" w:eastAsia="標楷體" w:hAnsi="標楷體"/>
          <w:szCs w:val="24"/>
        </w:rPr>
      </w:pPr>
      <w:r>
        <w:rPr>
          <w:rFonts w:ascii="標楷體" w:eastAsia="標楷體" w:hAnsi="標楷體"/>
          <w:szCs w:val="24"/>
        </w:rPr>
        <w:t>前款情形，乙方應於接獲甲方通知改善後30日內或甲方通知所訂之期限內將公用房地回復原狀，且不得要求任何補償；使用期限屆滿或其他事由所生契約關係消滅者，亦同。</w:t>
      </w:r>
    </w:p>
    <w:p w:rsidR="00DE4AA2" w:rsidRDefault="00BE40B7">
      <w:pPr>
        <w:pStyle w:val="ab"/>
        <w:wordWrap w:val="0"/>
        <w:spacing w:line="320" w:lineRule="exact"/>
        <w:ind w:left="1680" w:hanging="1680"/>
        <w:rPr>
          <w:rFonts w:ascii="標楷體" w:eastAsia="標楷體" w:hAnsi="標楷體"/>
          <w:szCs w:val="24"/>
        </w:rPr>
      </w:pPr>
      <w:r>
        <w:rPr>
          <w:rFonts w:ascii="標楷體" w:eastAsia="標楷體" w:hAnsi="標楷體"/>
          <w:szCs w:val="24"/>
        </w:rPr>
        <w:t>第 十一 條　　不可抗力致公用房地不堪用</w:t>
      </w:r>
    </w:p>
    <w:p w:rsidR="00DE4AA2" w:rsidRDefault="00BE40B7">
      <w:pPr>
        <w:pStyle w:val="ab"/>
        <w:numPr>
          <w:ilvl w:val="0"/>
          <w:numId w:val="24"/>
        </w:numPr>
        <w:wordWrap w:val="0"/>
        <w:spacing w:line="320" w:lineRule="exact"/>
        <w:ind w:left="2268" w:hanging="567"/>
        <w:rPr>
          <w:rFonts w:ascii="標楷體" w:eastAsia="標楷體" w:hAnsi="標楷體"/>
          <w:szCs w:val="24"/>
        </w:rPr>
      </w:pPr>
      <w:r>
        <w:rPr>
          <w:rFonts w:ascii="標楷體" w:eastAsia="標楷體" w:hAnsi="標楷體"/>
          <w:szCs w:val="24"/>
        </w:rPr>
        <w:t>公用房地因天災、事變或其他不可抗力之事由致毀損或滅失，致不達第二條所定之使用目的及用途者，經甲方查驗屬實後，乙方得終止契約，並應即返還公用房地。</w:t>
      </w:r>
    </w:p>
    <w:p w:rsidR="00DE4AA2" w:rsidRDefault="00BE40B7">
      <w:pPr>
        <w:pStyle w:val="ab"/>
        <w:numPr>
          <w:ilvl w:val="0"/>
          <w:numId w:val="24"/>
        </w:numPr>
        <w:wordWrap w:val="0"/>
        <w:spacing w:line="320" w:lineRule="exact"/>
        <w:ind w:left="2268" w:hanging="567"/>
        <w:rPr>
          <w:rFonts w:ascii="標楷體" w:eastAsia="標楷體" w:hAnsi="標楷體"/>
          <w:szCs w:val="24"/>
        </w:rPr>
      </w:pPr>
      <w:r>
        <w:rPr>
          <w:rFonts w:ascii="標楷體" w:eastAsia="標楷體" w:hAnsi="標楷體"/>
          <w:szCs w:val="24"/>
        </w:rPr>
        <w:t>公用房地因天災、事變或其他不可抗力之事由致毀損，但未達喪失第二條所定之使用用途者，應由管理機關負責修繕。</w:t>
      </w:r>
    </w:p>
    <w:p w:rsidR="00DE4AA2" w:rsidRDefault="00BE40B7">
      <w:pPr>
        <w:pStyle w:val="ab"/>
        <w:wordWrap w:val="0"/>
        <w:spacing w:line="320" w:lineRule="exact"/>
        <w:ind w:left="1680" w:hanging="1680"/>
        <w:rPr>
          <w:rFonts w:ascii="標楷體" w:eastAsia="標楷體" w:hAnsi="標楷體"/>
          <w:szCs w:val="24"/>
        </w:rPr>
      </w:pPr>
      <w:r>
        <w:rPr>
          <w:rFonts w:ascii="標楷體" w:eastAsia="標楷體" w:hAnsi="標楷體"/>
          <w:szCs w:val="24"/>
        </w:rPr>
        <w:t>第 十二 條　　增建或改建</w:t>
      </w:r>
    </w:p>
    <w:p w:rsidR="00DE4AA2" w:rsidRDefault="00BE40B7">
      <w:pPr>
        <w:pStyle w:val="ab"/>
        <w:numPr>
          <w:ilvl w:val="0"/>
          <w:numId w:val="25"/>
        </w:numPr>
        <w:wordWrap w:val="0"/>
        <w:spacing w:line="320" w:lineRule="exact"/>
        <w:ind w:left="2268" w:hanging="567"/>
        <w:rPr>
          <w:rFonts w:ascii="標楷體" w:eastAsia="標楷體" w:hAnsi="標楷體"/>
          <w:szCs w:val="24"/>
        </w:rPr>
      </w:pPr>
      <w:r>
        <w:rPr>
          <w:rFonts w:ascii="標楷體" w:eastAsia="標楷體" w:hAnsi="標楷體"/>
          <w:szCs w:val="24"/>
        </w:rPr>
        <w:t>乙方使用之公用房地，限現狀使用，如房屋有修繕或改裝設施之必要，</w:t>
      </w:r>
      <w:r>
        <w:rPr>
          <w:rFonts w:ascii="標楷體" w:eastAsia="標楷體" w:hAnsi="標楷體"/>
          <w:szCs w:val="24"/>
        </w:rPr>
        <w:lastRenderedPageBreak/>
        <w:t>不得有損害原有建築之功能、結構或減損原有建築利用價值之情事，並應以書面向甲方提出申請，並經甲方知會管理機關同意後始得為之。其修繕費用或裝設費用由乙方自行負擔，不得抵償回饋金或請求甲方予以補償。該項改裝之設施於使用期限屆至、契約終止或解除後，由乙方負責回復原狀。但甲方得於使用期限屆至、契約終止或解除前主張留供甲方使用，乙方不得主張任何補償。</w:t>
      </w:r>
    </w:p>
    <w:p w:rsidR="00DE4AA2" w:rsidRDefault="00BE40B7">
      <w:pPr>
        <w:pStyle w:val="ab"/>
        <w:numPr>
          <w:ilvl w:val="0"/>
          <w:numId w:val="25"/>
        </w:numPr>
        <w:wordWrap w:val="0"/>
        <w:spacing w:line="320" w:lineRule="exact"/>
        <w:ind w:left="2268" w:hanging="567"/>
        <w:rPr>
          <w:rFonts w:ascii="標楷體" w:eastAsia="標楷體" w:hAnsi="標楷體"/>
          <w:szCs w:val="24"/>
        </w:rPr>
      </w:pPr>
      <w:r>
        <w:rPr>
          <w:rFonts w:ascii="標楷體" w:eastAsia="標楷體" w:hAnsi="標楷體"/>
          <w:szCs w:val="24"/>
        </w:rPr>
        <w:t>乙方非得甲方及管理機關事前書面同意，不得就使用公用房地任意增建、改建或裝修，且應以自己費用增建、改建或裝修。於使用期限屆至、契約終止或解除後，由乙方負責回復原狀。但甲方得於使用期限屆至、契約終止或解除前一個月主張留供甲方使用，乙方不得主張任何補償。</w:t>
      </w:r>
    </w:p>
    <w:p w:rsidR="00DE4AA2" w:rsidRDefault="00BE40B7">
      <w:pPr>
        <w:pStyle w:val="ab"/>
        <w:numPr>
          <w:ilvl w:val="0"/>
          <w:numId w:val="25"/>
        </w:numPr>
        <w:wordWrap w:val="0"/>
        <w:spacing w:line="320" w:lineRule="exact"/>
        <w:ind w:left="2268" w:hanging="567"/>
        <w:rPr>
          <w:rFonts w:ascii="標楷體" w:eastAsia="標楷體" w:hAnsi="標楷體"/>
          <w:szCs w:val="24"/>
        </w:rPr>
      </w:pPr>
      <w:r>
        <w:rPr>
          <w:rFonts w:ascii="標楷體" w:eastAsia="標楷體" w:hAnsi="標楷體"/>
          <w:szCs w:val="24"/>
        </w:rPr>
        <w:t>若乙方裝修、增建或改建地上物須取得建築相關法令規定及相關消防法規規定之許可者，乙方應自行申請通過後始可為之，並應依法辦理施工監造。甲方於前款所為之書面同意，不得取代本款之許可或藉以對抗政府之取締。</w:t>
      </w:r>
    </w:p>
    <w:p w:rsidR="00DE4AA2" w:rsidRDefault="00BE40B7">
      <w:pPr>
        <w:pStyle w:val="ab"/>
        <w:numPr>
          <w:ilvl w:val="0"/>
          <w:numId w:val="25"/>
        </w:numPr>
        <w:wordWrap w:val="0"/>
        <w:spacing w:line="320" w:lineRule="exact"/>
        <w:ind w:left="2268" w:hanging="567"/>
        <w:rPr>
          <w:rFonts w:ascii="標楷體" w:eastAsia="標楷體" w:hAnsi="標楷體"/>
          <w:szCs w:val="24"/>
        </w:rPr>
      </w:pPr>
      <w:r>
        <w:rPr>
          <w:rFonts w:ascii="標楷體" w:eastAsia="標楷體" w:hAnsi="標楷體"/>
          <w:szCs w:val="24"/>
        </w:rPr>
        <w:t>若乙方有違反前三款規定之情事者，甲方得定相當期限催告乙方回復原狀。逾期未回復原狀者，甲方得立即終止契約，並沒收乙方已繳交之履約保證金，且以乙方之費用回復原狀。若致甲方或管理機關遭受損害，並應賠償甲方或管理機關所受損害，且不得要求補償。</w:t>
      </w:r>
    </w:p>
    <w:p w:rsidR="00DE4AA2" w:rsidRDefault="00BE40B7">
      <w:pPr>
        <w:pStyle w:val="ab"/>
        <w:wordWrap w:val="0"/>
        <w:spacing w:line="320" w:lineRule="exact"/>
        <w:ind w:left="1680" w:hanging="1680"/>
        <w:rPr>
          <w:rFonts w:ascii="標楷體" w:eastAsia="標楷體" w:hAnsi="標楷體"/>
          <w:szCs w:val="24"/>
        </w:rPr>
      </w:pPr>
      <w:r>
        <w:rPr>
          <w:rFonts w:ascii="標楷體" w:eastAsia="標楷體" w:hAnsi="標楷體"/>
          <w:szCs w:val="24"/>
        </w:rPr>
        <w:t>第 十三 條　　自行使用</w:t>
      </w:r>
    </w:p>
    <w:p w:rsidR="00DE4AA2" w:rsidRDefault="00BE40B7">
      <w:pPr>
        <w:pStyle w:val="ab"/>
        <w:numPr>
          <w:ilvl w:val="0"/>
          <w:numId w:val="26"/>
        </w:numPr>
        <w:wordWrap w:val="0"/>
        <w:spacing w:line="320" w:lineRule="exact"/>
        <w:ind w:left="2268" w:hanging="567"/>
        <w:rPr>
          <w:rFonts w:ascii="標楷體" w:eastAsia="標楷體" w:hAnsi="標楷體"/>
          <w:szCs w:val="24"/>
        </w:rPr>
      </w:pPr>
      <w:r>
        <w:rPr>
          <w:rFonts w:ascii="標楷體" w:eastAsia="標楷體" w:hAnsi="標楷體"/>
          <w:szCs w:val="24"/>
        </w:rPr>
        <w:t>乙方對於公用房地應自行使用；不得私自出租、分租、將使用權轉讓他人或以其他任何方式由他人使用。</w:t>
      </w:r>
    </w:p>
    <w:p w:rsidR="00DE4AA2" w:rsidRDefault="00BE40B7">
      <w:pPr>
        <w:pStyle w:val="ab"/>
        <w:numPr>
          <w:ilvl w:val="0"/>
          <w:numId w:val="26"/>
        </w:numPr>
        <w:wordWrap w:val="0"/>
        <w:spacing w:line="320" w:lineRule="exact"/>
        <w:ind w:left="2268" w:hanging="567"/>
        <w:rPr>
          <w:rFonts w:ascii="標楷體" w:eastAsia="標楷體" w:hAnsi="標楷體"/>
          <w:szCs w:val="24"/>
        </w:rPr>
      </w:pPr>
      <w:r>
        <w:rPr>
          <w:rFonts w:ascii="標楷體" w:eastAsia="標楷體" w:hAnsi="標楷體"/>
          <w:szCs w:val="24"/>
        </w:rPr>
        <w:t>乙方有違背前款約定之情事者，甲方得不經催告立即終止契約，收回使用公用房地，並沒收乙方已繳交之履約保證金。如另甲方受有損害，並得請求損害賠償。</w:t>
      </w:r>
    </w:p>
    <w:p w:rsidR="00DE4AA2" w:rsidRDefault="00BE40B7">
      <w:pPr>
        <w:pStyle w:val="ab"/>
        <w:wordWrap w:val="0"/>
        <w:spacing w:line="320" w:lineRule="exact"/>
        <w:ind w:left="1680" w:hanging="1680"/>
        <w:rPr>
          <w:rFonts w:ascii="標楷體" w:eastAsia="標楷體" w:hAnsi="標楷體"/>
          <w:szCs w:val="24"/>
        </w:rPr>
      </w:pPr>
      <w:r>
        <w:rPr>
          <w:rFonts w:ascii="標楷體" w:eastAsia="標楷體" w:hAnsi="標楷體"/>
          <w:szCs w:val="24"/>
        </w:rPr>
        <w:t>第 十四 條　　質押禁止</w:t>
      </w:r>
    </w:p>
    <w:p w:rsidR="00DE4AA2" w:rsidRDefault="00BE40B7">
      <w:pPr>
        <w:pStyle w:val="ab"/>
        <w:wordWrap w:val="0"/>
        <w:spacing w:line="320" w:lineRule="exact"/>
        <w:ind w:left="2268"/>
        <w:rPr>
          <w:rFonts w:ascii="標楷體" w:eastAsia="標楷體" w:hAnsi="標楷體"/>
          <w:szCs w:val="24"/>
        </w:rPr>
      </w:pPr>
      <w:r>
        <w:rPr>
          <w:rFonts w:ascii="標楷體" w:eastAsia="標楷體" w:hAnsi="標楷體"/>
          <w:szCs w:val="24"/>
        </w:rPr>
        <w:t>乙方不得以本契約之權利設定擔保或供作其他類似使用。</w:t>
      </w:r>
    </w:p>
    <w:p w:rsidR="00DE4AA2" w:rsidRDefault="00BE40B7">
      <w:pPr>
        <w:pStyle w:val="ab"/>
        <w:wordWrap w:val="0"/>
        <w:spacing w:line="320" w:lineRule="exact"/>
        <w:ind w:left="1680" w:hanging="1680"/>
        <w:rPr>
          <w:rFonts w:ascii="標楷體" w:eastAsia="標楷體" w:hAnsi="標楷體"/>
          <w:szCs w:val="24"/>
        </w:rPr>
      </w:pPr>
      <w:r>
        <w:rPr>
          <w:rFonts w:ascii="標楷體" w:eastAsia="標楷體" w:hAnsi="標楷體"/>
          <w:szCs w:val="24"/>
        </w:rPr>
        <w:t>第 十五 條　　安全檢查</w:t>
      </w:r>
    </w:p>
    <w:p w:rsidR="00DE4AA2" w:rsidRDefault="00BE40B7">
      <w:pPr>
        <w:pStyle w:val="ab"/>
        <w:numPr>
          <w:ilvl w:val="0"/>
          <w:numId w:val="27"/>
        </w:numPr>
        <w:wordWrap w:val="0"/>
        <w:spacing w:line="320" w:lineRule="exact"/>
        <w:ind w:left="2268" w:hanging="567"/>
        <w:rPr>
          <w:rFonts w:ascii="標楷體" w:eastAsia="標楷體" w:hAnsi="標楷體"/>
          <w:szCs w:val="24"/>
        </w:rPr>
      </w:pPr>
      <w:r>
        <w:rPr>
          <w:rFonts w:ascii="標楷體" w:eastAsia="標楷體" w:hAnsi="標楷體"/>
          <w:szCs w:val="24"/>
        </w:rPr>
        <w:t>使用公用房地如有安全檢查之必要，由乙方負責。乙方應依法為適當之安全措施，並接受甲方及主管機關檢查。</w:t>
      </w:r>
    </w:p>
    <w:p w:rsidR="00DE4AA2" w:rsidRDefault="00BE40B7">
      <w:pPr>
        <w:pStyle w:val="ab"/>
        <w:numPr>
          <w:ilvl w:val="0"/>
          <w:numId w:val="27"/>
        </w:numPr>
        <w:wordWrap w:val="0"/>
        <w:spacing w:line="320" w:lineRule="exact"/>
        <w:ind w:left="2268" w:hanging="567"/>
        <w:rPr>
          <w:rFonts w:ascii="標楷體" w:eastAsia="標楷體" w:hAnsi="標楷體"/>
          <w:szCs w:val="24"/>
        </w:rPr>
      </w:pPr>
      <w:r>
        <w:rPr>
          <w:rFonts w:ascii="標楷體" w:eastAsia="標楷體" w:hAnsi="標楷體"/>
          <w:szCs w:val="24"/>
        </w:rPr>
        <w:t>管理機關依法令規定辦理公用房地相關安全檢查，於檢查、簽證及申報過程中所列應改善項目，倘涉原有設備及造成屋頂毀損滲漏，該部分之改善作業及費用應由乙方負擔，並將申報結果副知甲方。如依法規認定因乙方用途使用致所使用樓層為同一申報客體者，則同前段規定辦理。</w:t>
      </w:r>
    </w:p>
    <w:p w:rsidR="00DE4AA2" w:rsidRDefault="00BE40B7">
      <w:pPr>
        <w:pStyle w:val="ab"/>
        <w:numPr>
          <w:ilvl w:val="0"/>
          <w:numId w:val="27"/>
        </w:numPr>
        <w:wordWrap w:val="0"/>
        <w:spacing w:line="320" w:lineRule="exact"/>
        <w:ind w:left="2268" w:hanging="567"/>
        <w:rPr>
          <w:rFonts w:ascii="標楷體" w:eastAsia="標楷體" w:hAnsi="標楷體"/>
          <w:szCs w:val="24"/>
        </w:rPr>
      </w:pPr>
      <w:r>
        <w:rPr>
          <w:rFonts w:ascii="標楷體" w:eastAsia="標楷體" w:hAnsi="標楷體"/>
          <w:szCs w:val="24"/>
        </w:rPr>
        <w:t>乙方未依期限辦理安全檢查或安全檢查未通過者，甲方得限期乙方改正。逾期未改正或改正後仍未達法定標準者，甲方得終止契約。</w:t>
      </w:r>
    </w:p>
    <w:p w:rsidR="00DE4AA2" w:rsidRDefault="00BE40B7">
      <w:pPr>
        <w:pStyle w:val="ab"/>
        <w:wordWrap w:val="0"/>
        <w:spacing w:line="320" w:lineRule="exact"/>
        <w:ind w:left="1680" w:hanging="1680"/>
        <w:rPr>
          <w:rFonts w:ascii="標楷體" w:eastAsia="標楷體" w:hAnsi="標楷體"/>
          <w:szCs w:val="24"/>
        </w:rPr>
      </w:pPr>
      <w:r>
        <w:rPr>
          <w:rFonts w:ascii="標楷體" w:eastAsia="標楷體" w:hAnsi="標楷體"/>
          <w:szCs w:val="24"/>
        </w:rPr>
        <w:t>第 十六 條　　保險</w:t>
      </w:r>
    </w:p>
    <w:p w:rsidR="00DE4AA2" w:rsidRDefault="00BE40B7">
      <w:pPr>
        <w:pStyle w:val="ab"/>
        <w:numPr>
          <w:ilvl w:val="0"/>
          <w:numId w:val="28"/>
        </w:numPr>
        <w:wordWrap w:val="0"/>
        <w:spacing w:line="320" w:lineRule="exact"/>
        <w:ind w:left="2268" w:hanging="567"/>
        <w:rPr>
          <w:rFonts w:ascii="標楷體" w:eastAsia="標楷體" w:hAnsi="標楷體"/>
          <w:szCs w:val="24"/>
        </w:rPr>
      </w:pPr>
      <w:r>
        <w:rPr>
          <w:rFonts w:ascii="標楷體" w:eastAsia="標楷體" w:hAnsi="標楷體"/>
          <w:szCs w:val="24"/>
        </w:rPr>
        <w:t>乙方於第四條規定使用範圍內應向中央目的事業主管機關核准設立登記之產物保險公司，投保購買並維持必要之足額保險，且於保險可理賠之範圍內應對所造成損失負回復原狀之責。就無法獲得保險理賠之損失，由乙方負擔。至少投保並維持下列保險項目：</w:t>
      </w:r>
    </w:p>
    <w:p w:rsidR="00DE4AA2" w:rsidRDefault="00BE40B7">
      <w:pPr>
        <w:pStyle w:val="ab"/>
        <w:numPr>
          <w:ilvl w:val="0"/>
          <w:numId w:val="29"/>
        </w:numPr>
        <w:wordWrap w:val="0"/>
        <w:spacing w:line="320" w:lineRule="exact"/>
        <w:ind w:left="2552" w:hanging="284"/>
        <w:rPr>
          <w:rFonts w:ascii="標楷體" w:eastAsia="標楷體" w:hAnsi="標楷體"/>
          <w:szCs w:val="24"/>
        </w:rPr>
      </w:pPr>
      <w:r>
        <w:rPr>
          <w:rFonts w:ascii="標楷體" w:eastAsia="標楷體" w:hAnsi="標楷體"/>
          <w:szCs w:val="24"/>
        </w:rPr>
        <w:t>履約期間應辦理專業責任險，包括因業務疏漏、錯誤或過失，違反業務上之義務，致甲方、管理機關或其他第三人受有之損失。</w:t>
      </w:r>
    </w:p>
    <w:p w:rsidR="00DE4AA2" w:rsidRDefault="00BE40B7">
      <w:pPr>
        <w:pStyle w:val="ab"/>
        <w:numPr>
          <w:ilvl w:val="0"/>
          <w:numId w:val="29"/>
        </w:numPr>
        <w:wordWrap w:val="0"/>
        <w:spacing w:line="320" w:lineRule="exact"/>
        <w:ind w:left="2552" w:hanging="284"/>
      </w:pPr>
      <w:r>
        <w:rPr>
          <w:rFonts w:eastAsia="標楷體"/>
          <w:szCs w:val="24"/>
        </w:rPr>
        <w:t>雇主意外責任險：本款保險採社會保險優先給付後，再就雇主意外責任險予以給付。</w:t>
      </w:r>
    </w:p>
    <w:p w:rsidR="00DE4AA2" w:rsidRDefault="00BE40B7">
      <w:pPr>
        <w:numPr>
          <w:ilvl w:val="0"/>
          <w:numId w:val="30"/>
        </w:numPr>
        <w:spacing w:line="320" w:lineRule="exact"/>
        <w:ind w:left="3119" w:hanging="369"/>
        <w:jc w:val="both"/>
        <w:rPr>
          <w:rFonts w:eastAsia="標楷體"/>
          <w:szCs w:val="24"/>
        </w:rPr>
      </w:pPr>
      <w:r>
        <w:rPr>
          <w:rFonts w:eastAsia="標楷體"/>
          <w:szCs w:val="24"/>
        </w:rPr>
        <w:t>每一人體傷或死亡保險金額不低於新臺幣</w:t>
      </w:r>
      <w:r>
        <w:rPr>
          <w:rFonts w:eastAsia="標楷體"/>
          <w:szCs w:val="24"/>
        </w:rPr>
        <w:t>2</w:t>
      </w:r>
      <w:r>
        <w:rPr>
          <w:rFonts w:eastAsia="標楷體"/>
          <w:szCs w:val="24"/>
        </w:rPr>
        <w:t>百萬元。</w:t>
      </w:r>
    </w:p>
    <w:p w:rsidR="00DE4AA2" w:rsidRDefault="00BE40B7">
      <w:pPr>
        <w:numPr>
          <w:ilvl w:val="0"/>
          <w:numId w:val="30"/>
        </w:numPr>
        <w:spacing w:line="320" w:lineRule="exact"/>
        <w:ind w:left="3119" w:hanging="369"/>
        <w:jc w:val="both"/>
        <w:rPr>
          <w:rFonts w:eastAsia="標楷體"/>
          <w:szCs w:val="24"/>
        </w:rPr>
      </w:pPr>
      <w:r>
        <w:rPr>
          <w:rFonts w:eastAsia="標楷體"/>
          <w:szCs w:val="24"/>
        </w:rPr>
        <w:lastRenderedPageBreak/>
        <w:t>每一事故體傷或死亡保險金額不低於新臺幣</w:t>
      </w:r>
      <w:r>
        <w:rPr>
          <w:rFonts w:eastAsia="標楷體"/>
          <w:szCs w:val="24"/>
        </w:rPr>
        <w:t>5</w:t>
      </w:r>
      <w:r>
        <w:rPr>
          <w:rFonts w:eastAsia="標楷體"/>
          <w:szCs w:val="24"/>
        </w:rPr>
        <w:t>百萬元。</w:t>
      </w:r>
    </w:p>
    <w:p w:rsidR="00DE4AA2" w:rsidRDefault="00BE40B7">
      <w:pPr>
        <w:numPr>
          <w:ilvl w:val="0"/>
          <w:numId w:val="30"/>
        </w:numPr>
        <w:spacing w:line="320" w:lineRule="exact"/>
        <w:ind w:left="3119" w:hanging="369"/>
        <w:jc w:val="both"/>
        <w:rPr>
          <w:rFonts w:eastAsia="標楷體"/>
          <w:szCs w:val="24"/>
        </w:rPr>
      </w:pPr>
      <w:r>
        <w:rPr>
          <w:rFonts w:eastAsia="標楷體"/>
          <w:szCs w:val="24"/>
        </w:rPr>
        <w:t>保險期間內最高賠償金額不低於新臺幣</w:t>
      </w:r>
      <w:r>
        <w:rPr>
          <w:rFonts w:eastAsia="標楷體"/>
          <w:szCs w:val="24"/>
        </w:rPr>
        <w:t>2</w:t>
      </w:r>
      <w:r>
        <w:rPr>
          <w:rFonts w:eastAsia="標楷體"/>
          <w:szCs w:val="24"/>
        </w:rPr>
        <w:t>千萬元。</w:t>
      </w:r>
    </w:p>
    <w:p w:rsidR="00DE4AA2" w:rsidRDefault="00BE40B7">
      <w:pPr>
        <w:numPr>
          <w:ilvl w:val="0"/>
          <w:numId w:val="30"/>
        </w:numPr>
        <w:spacing w:line="320" w:lineRule="exact"/>
        <w:ind w:left="3119" w:hanging="369"/>
        <w:jc w:val="both"/>
        <w:rPr>
          <w:rFonts w:eastAsia="標楷體"/>
          <w:szCs w:val="24"/>
        </w:rPr>
      </w:pPr>
      <w:r>
        <w:rPr>
          <w:rFonts w:eastAsia="標楷體"/>
          <w:szCs w:val="24"/>
        </w:rPr>
        <w:t>每一事故之廠商自負額上限新臺幣</w:t>
      </w:r>
      <w:r>
        <w:rPr>
          <w:rFonts w:eastAsia="標楷體"/>
          <w:szCs w:val="24"/>
        </w:rPr>
        <w:t>2,000</w:t>
      </w:r>
      <w:r>
        <w:rPr>
          <w:rFonts w:eastAsia="標楷體"/>
          <w:szCs w:val="24"/>
        </w:rPr>
        <w:t>元。</w:t>
      </w:r>
    </w:p>
    <w:p w:rsidR="00DE4AA2" w:rsidRDefault="00BE40B7">
      <w:pPr>
        <w:numPr>
          <w:ilvl w:val="0"/>
          <w:numId w:val="30"/>
        </w:numPr>
        <w:spacing w:line="320" w:lineRule="exact"/>
        <w:ind w:left="3119" w:hanging="369"/>
        <w:jc w:val="both"/>
      </w:pPr>
      <w:r>
        <w:rPr>
          <w:rFonts w:eastAsia="標楷體"/>
          <w:szCs w:val="24"/>
        </w:rPr>
        <w:t>保險期間：自申報開工日起至申報竣工日加計</w:t>
      </w:r>
      <w:r>
        <w:rPr>
          <w:rFonts w:eastAsia="標楷體"/>
          <w:szCs w:val="24"/>
        </w:rPr>
        <w:t>3</w:t>
      </w:r>
      <w:r>
        <w:rPr>
          <w:rFonts w:eastAsia="標楷體"/>
          <w:szCs w:val="24"/>
        </w:rPr>
        <w:t>個月止。有延期或遲延履約者，保險期間比照順延。</w:t>
      </w:r>
    </w:p>
    <w:p w:rsidR="00DE4AA2" w:rsidRDefault="00BE40B7">
      <w:pPr>
        <w:pStyle w:val="ab"/>
        <w:numPr>
          <w:ilvl w:val="0"/>
          <w:numId w:val="29"/>
        </w:numPr>
        <w:wordWrap w:val="0"/>
        <w:spacing w:line="320" w:lineRule="exact"/>
        <w:ind w:left="2552" w:hanging="284"/>
        <w:rPr>
          <w:rFonts w:ascii="標楷體" w:eastAsia="標楷體" w:hAnsi="標楷體"/>
          <w:szCs w:val="24"/>
        </w:rPr>
      </w:pPr>
      <w:r>
        <w:rPr>
          <w:rFonts w:ascii="標楷體" w:eastAsia="標楷體" w:hAnsi="標楷體"/>
          <w:szCs w:val="24"/>
        </w:rPr>
        <w:t>履約期間辦理公共意外責任險，包括履行本案所發生之意外事故，或颱風等天然災害，至第三人體傷、死亡或第三人財物損失。公共意外責任險，其每一場所最低保險金額如下：</w:t>
      </w:r>
    </w:p>
    <w:p w:rsidR="00DE4AA2" w:rsidRDefault="00BE40B7">
      <w:pPr>
        <w:pStyle w:val="ab"/>
        <w:numPr>
          <w:ilvl w:val="0"/>
          <w:numId w:val="31"/>
        </w:numPr>
        <w:wordWrap w:val="0"/>
        <w:spacing w:line="320" w:lineRule="exact"/>
        <w:ind w:left="3119" w:hanging="371"/>
        <w:rPr>
          <w:rFonts w:ascii="標楷體" w:eastAsia="標楷體" w:hAnsi="標楷體"/>
          <w:szCs w:val="24"/>
        </w:rPr>
      </w:pPr>
      <w:r>
        <w:rPr>
          <w:rFonts w:ascii="標楷體" w:eastAsia="標楷體" w:hAnsi="標楷體"/>
          <w:szCs w:val="24"/>
        </w:rPr>
        <w:t>每一個人身體傷亡：新臺幣三百萬元。</w:t>
      </w:r>
    </w:p>
    <w:p w:rsidR="00DE4AA2" w:rsidRDefault="00BE40B7">
      <w:pPr>
        <w:pStyle w:val="ab"/>
        <w:numPr>
          <w:ilvl w:val="0"/>
          <w:numId w:val="31"/>
        </w:numPr>
        <w:wordWrap w:val="0"/>
        <w:spacing w:line="320" w:lineRule="exact"/>
        <w:ind w:left="3119" w:hanging="371"/>
        <w:rPr>
          <w:rFonts w:ascii="標楷體" w:eastAsia="標楷體" w:hAnsi="標楷體"/>
          <w:szCs w:val="24"/>
        </w:rPr>
      </w:pPr>
      <w:r>
        <w:rPr>
          <w:rFonts w:ascii="標楷體" w:eastAsia="標楷體" w:hAnsi="標楷體"/>
          <w:szCs w:val="24"/>
        </w:rPr>
        <w:t>每一意外事故傷亡：新臺幣一千五百萬元。</w:t>
      </w:r>
    </w:p>
    <w:p w:rsidR="00DE4AA2" w:rsidRDefault="00BE40B7">
      <w:pPr>
        <w:pStyle w:val="ab"/>
        <w:numPr>
          <w:ilvl w:val="0"/>
          <w:numId w:val="31"/>
        </w:numPr>
        <w:wordWrap w:val="0"/>
        <w:spacing w:line="320" w:lineRule="exact"/>
        <w:ind w:left="3119" w:hanging="371"/>
        <w:rPr>
          <w:rFonts w:ascii="標楷體" w:eastAsia="標楷體" w:hAnsi="標楷體"/>
          <w:szCs w:val="24"/>
        </w:rPr>
      </w:pPr>
      <w:r>
        <w:rPr>
          <w:rFonts w:ascii="標楷體" w:eastAsia="標楷體" w:hAnsi="標楷體"/>
          <w:szCs w:val="24"/>
        </w:rPr>
        <w:t>每一意外事故財產損失：新臺幣二百萬元。</w:t>
      </w:r>
    </w:p>
    <w:p w:rsidR="00DE4AA2" w:rsidRDefault="00BE40B7">
      <w:pPr>
        <w:pStyle w:val="ab"/>
        <w:numPr>
          <w:ilvl w:val="0"/>
          <w:numId w:val="31"/>
        </w:numPr>
        <w:wordWrap w:val="0"/>
        <w:spacing w:line="320" w:lineRule="exact"/>
        <w:ind w:left="3119" w:hanging="371"/>
        <w:rPr>
          <w:rFonts w:ascii="標楷體" w:eastAsia="標楷體" w:hAnsi="標楷體"/>
          <w:szCs w:val="24"/>
        </w:rPr>
      </w:pPr>
      <w:r>
        <w:rPr>
          <w:rFonts w:ascii="標楷體" w:eastAsia="標楷體" w:hAnsi="標楷體"/>
          <w:szCs w:val="24"/>
        </w:rPr>
        <w:t>保險期間總保險金額：新臺幣三千四百萬元。</w:t>
      </w:r>
    </w:p>
    <w:p w:rsidR="00DE4AA2" w:rsidRDefault="00BE40B7">
      <w:pPr>
        <w:pStyle w:val="ab"/>
        <w:numPr>
          <w:ilvl w:val="0"/>
          <w:numId w:val="28"/>
        </w:numPr>
        <w:wordWrap w:val="0"/>
        <w:spacing w:line="320" w:lineRule="exact"/>
        <w:ind w:left="2268" w:hanging="567"/>
        <w:rPr>
          <w:rFonts w:ascii="標楷體" w:eastAsia="標楷體" w:hAnsi="標楷體"/>
          <w:szCs w:val="24"/>
        </w:rPr>
      </w:pPr>
      <w:r>
        <w:rPr>
          <w:rFonts w:ascii="標楷體" w:eastAsia="標楷體" w:hAnsi="標楷體"/>
          <w:szCs w:val="24"/>
        </w:rPr>
        <w:t>前款所列保險費用，全部由乙方負擔。其保險金額、保險期間、附加險、附加條款、除外條款之排除及自負額之上限等保險條件，除前款另有規定外，應由乙方依當時保險產業通行之標準慣例定之。保險給付之用途應用於修復與重置本案公有資產。</w:t>
      </w:r>
    </w:p>
    <w:p w:rsidR="00DE4AA2" w:rsidRDefault="00BE40B7">
      <w:pPr>
        <w:pStyle w:val="ab"/>
        <w:numPr>
          <w:ilvl w:val="0"/>
          <w:numId w:val="28"/>
        </w:numPr>
        <w:wordWrap w:val="0"/>
        <w:spacing w:line="320" w:lineRule="exact"/>
        <w:ind w:left="2268" w:hanging="567"/>
        <w:rPr>
          <w:rFonts w:ascii="標楷體" w:eastAsia="標楷體" w:hAnsi="標楷體"/>
          <w:szCs w:val="24"/>
        </w:rPr>
      </w:pPr>
      <w:r>
        <w:rPr>
          <w:rFonts w:ascii="標楷體" w:eastAsia="標楷體" w:hAnsi="標楷體"/>
          <w:szCs w:val="24"/>
        </w:rPr>
        <w:t>保險期間自簽約日起至使用期限屆滿之日止，如有申請續約者，保險期間比照順延。</w:t>
      </w:r>
    </w:p>
    <w:p w:rsidR="00DE4AA2" w:rsidRDefault="00BE40B7">
      <w:pPr>
        <w:pStyle w:val="ab"/>
        <w:numPr>
          <w:ilvl w:val="0"/>
          <w:numId w:val="28"/>
        </w:numPr>
        <w:wordWrap w:val="0"/>
        <w:spacing w:line="320" w:lineRule="exact"/>
        <w:ind w:left="2268" w:hanging="567"/>
        <w:rPr>
          <w:rFonts w:ascii="標楷體" w:eastAsia="標楷體" w:hAnsi="標楷體"/>
          <w:szCs w:val="24"/>
        </w:rPr>
      </w:pPr>
      <w:r>
        <w:rPr>
          <w:rFonts w:ascii="標楷體" w:eastAsia="標楷體" w:hAnsi="標楷體"/>
          <w:szCs w:val="24"/>
        </w:rPr>
        <w:t>乙方於任何保險事故發生後，應依保險契約之約定通知保險公司，並於事故發生後5日內以書面通知甲方有關保險事故發生之相關事實、損失情況及處理情形等，甲方得派員參與事故之會勘。</w:t>
      </w:r>
    </w:p>
    <w:p w:rsidR="00DE4AA2" w:rsidRDefault="00BE40B7">
      <w:pPr>
        <w:pStyle w:val="ab"/>
        <w:numPr>
          <w:ilvl w:val="0"/>
          <w:numId w:val="28"/>
        </w:numPr>
        <w:wordWrap w:val="0"/>
        <w:spacing w:line="320" w:lineRule="exact"/>
        <w:ind w:left="2268" w:hanging="567"/>
        <w:rPr>
          <w:rFonts w:ascii="標楷體" w:eastAsia="標楷體" w:hAnsi="標楷體"/>
          <w:szCs w:val="24"/>
        </w:rPr>
      </w:pPr>
      <w:r>
        <w:rPr>
          <w:rFonts w:ascii="標楷體" w:eastAsia="標楷體" w:hAnsi="標楷體"/>
          <w:szCs w:val="24"/>
        </w:rPr>
        <w:t>保險事故發生後，除本契約經任一方依本契約相關規定終止者外，財產保險屬於臺北市資產部分之給付應撥入甲方暫收款帳戶，用於彌補或重建本案資產因保險事故發生所致之損害，由甲方視乙方修復或重置本案資產狀況撥付予乙方，如保險金額額度不足支應修繕或重置費用，應由乙方負擔差額。</w:t>
      </w:r>
    </w:p>
    <w:p w:rsidR="00DE4AA2" w:rsidRDefault="00BE40B7">
      <w:pPr>
        <w:pStyle w:val="ab"/>
        <w:numPr>
          <w:ilvl w:val="0"/>
          <w:numId w:val="28"/>
        </w:numPr>
        <w:wordWrap w:val="0"/>
        <w:spacing w:line="320" w:lineRule="exact"/>
        <w:ind w:left="2268" w:hanging="567"/>
        <w:rPr>
          <w:rFonts w:ascii="標楷體" w:eastAsia="標楷體" w:hAnsi="標楷體"/>
          <w:szCs w:val="24"/>
        </w:rPr>
      </w:pPr>
      <w:r>
        <w:rPr>
          <w:rFonts w:ascii="標楷體" w:eastAsia="標楷體" w:hAnsi="標楷體"/>
          <w:szCs w:val="24"/>
        </w:rPr>
        <w:t>乙方應於簽約日起算至1個月內依本契約定投保之各類保險，其保險單及批單之副本、保費繳納收據副本或其他投保證明文件，乙方應於投保後30日內將各項保險之保險單、及繳費收據副本送交甲方備查。其後有變更者，亦同。</w:t>
      </w:r>
    </w:p>
    <w:p w:rsidR="00DE4AA2" w:rsidRDefault="00BE40B7">
      <w:pPr>
        <w:pStyle w:val="ab"/>
        <w:numPr>
          <w:ilvl w:val="0"/>
          <w:numId w:val="28"/>
        </w:numPr>
        <w:wordWrap w:val="0"/>
        <w:spacing w:line="320" w:lineRule="exact"/>
        <w:ind w:left="2268" w:hanging="567"/>
        <w:rPr>
          <w:rFonts w:ascii="標楷體" w:eastAsia="標楷體" w:hAnsi="標楷體"/>
          <w:szCs w:val="24"/>
        </w:rPr>
      </w:pPr>
      <w:r>
        <w:rPr>
          <w:rFonts w:ascii="標楷體" w:eastAsia="標楷體" w:hAnsi="標楷體"/>
          <w:szCs w:val="24"/>
        </w:rPr>
        <w:t>除甲方同意者外，乙方不得批改保單致變更後之條件較原保單為不利。乙方或保險人批改前應以書面通知甲方批改之內容並經甲方同意，批改後之保單副本亦應提送甲方備查。</w:t>
      </w:r>
    </w:p>
    <w:p w:rsidR="00DE4AA2" w:rsidRDefault="00BE40B7">
      <w:pPr>
        <w:pStyle w:val="ab"/>
        <w:numPr>
          <w:ilvl w:val="0"/>
          <w:numId w:val="28"/>
        </w:numPr>
        <w:wordWrap w:val="0"/>
        <w:spacing w:line="320" w:lineRule="exact"/>
        <w:ind w:left="2268" w:hanging="567"/>
        <w:rPr>
          <w:rFonts w:ascii="標楷體" w:eastAsia="標楷體" w:hAnsi="標楷體"/>
          <w:szCs w:val="24"/>
        </w:rPr>
      </w:pPr>
      <w:r>
        <w:rPr>
          <w:rFonts w:ascii="標楷體" w:eastAsia="標楷體" w:hAnsi="標楷體"/>
          <w:szCs w:val="24"/>
        </w:rPr>
        <w:t>保險單記載契約規定以外之不保事項者，其風險及可能之賠償由乙方負擔。</w:t>
      </w:r>
    </w:p>
    <w:p w:rsidR="00DE4AA2" w:rsidRDefault="00BE40B7">
      <w:pPr>
        <w:pStyle w:val="ab"/>
        <w:numPr>
          <w:ilvl w:val="0"/>
          <w:numId w:val="28"/>
        </w:numPr>
        <w:wordWrap w:val="0"/>
        <w:spacing w:line="320" w:lineRule="exact"/>
        <w:ind w:left="2268" w:hanging="567"/>
        <w:rPr>
          <w:rFonts w:ascii="標楷體" w:eastAsia="標楷體" w:hAnsi="標楷體"/>
          <w:szCs w:val="24"/>
        </w:rPr>
      </w:pPr>
      <w:r>
        <w:rPr>
          <w:rFonts w:ascii="標楷體" w:eastAsia="標楷體" w:hAnsi="標楷體"/>
          <w:szCs w:val="24"/>
        </w:rPr>
        <w:t>乙方向保險人索賠所費時間，不得據以請求延長合約期限。</w:t>
      </w:r>
    </w:p>
    <w:p w:rsidR="00DE4AA2" w:rsidRDefault="00BE40B7">
      <w:pPr>
        <w:pStyle w:val="ab"/>
        <w:numPr>
          <w:ilvl w:val="0"/>
          <w:numId w:val="28"/>
        </w:numPr>
        <w:wordWrap w:val="0"/>
        <w:spacing w:line="320" w:lineRule="exact"/>
        <w:ind w:left="2268" w:hanging="567"/>
        <w:rPr>
          <w:rFonts w:ascii="標楷體" w:eastAsia="標楷體" w:hAnsi="標楷體"/>
          <w:szCs w:val="24"/>
        </w:rPr>
      </w:pPr>
      <w:r>
        <w:rPr>
          <w:rFonts w:ascii="標楷體" w:eastAsia="標楷體" w:hAnsi="標楷體"/>
          <w:szCs w:val="24"/>
        </w:rPr>
        <w:t>乙方未依契約規定辦理保險、保險範圍不足或未能自保險人或得足額理賠者，其損失或損害賠償，由乙方負擔。</w:t>
      </w:r>
    </w:p>
    <w:p w:rsidR="00DE4AA2" w:rsidRDefault="00BE40B7">
      <w:pPr>
        <w:pStyle w:val="ab"/>
        <w:numPr>
          <w:ilvl w:val="0"/>
          <w:numId w:val="28"/>
        </w:numPr>
        <w:wordWrap w:val="0"/>
        <w:spacing w:line="320" w:lineRule="exact"/>
        <w:ind w:left="2552" w:hanging="851"/>
        <w:rPr>
          <w:rFonts w:ascii="標楷體" w:eastAsia="標楷體" w:hAnsi="標楷體"/>
          <w:szCs w:val="24"/>
        </w:rPr>
      </w:pPr>
      <w:r>
        <w:rPr>
          <w:rFonts w:ascii="標楷體" w:eastAsia="標楷體" w:hAnsi="標楷體"/>
          <w:szCs w:val="24"/>
        </w:rPr>
        <w:t>保險單加批甲方為受益人或賠款受領人。</w:t>
      </w:r>
    </w:p>
    <w:p w:rsidR="00DE4AA2" w:rsidRDefault="00BE40B7">
      <w:pPr>
        <w:pStyle w:val="ab"/>
        <w:numPr>
          <w:ilvl w:val="0"/>
          <w:numId w:val="28"/>
        </w:numPr>
        <w:wordWrap w:val="0"/>
        <w:spacing w:line="320" w:lineRule="exact"/>
        <w:ind w:left="2552" w:hanging="851"/>
        <w:rPr>
          <w:rFonts w:ascii="標楷體" w:eastAsia="標楷體" w:hAnsi="標楷體"/>
          <w:szCs w:val="24"/>
        </w:rPr>
      </w:pPr>
      <w:r>
        <w:rPr>
          <w:rFonts w:ascii="標楷體" w:eastAsia="標楷體" w:hAnsi="標楷體"/>
          <w:szCs w:val="24"/>
        </w:rPr>
        <w:t>保險單正本1份及繳費收據副本1份應於辦妥保險後即交甲方收執。</w:t>
      </w:r>
    </w:p>
    <w:p w:rsidR="00DE4AA2" w:rsidRDefault="00BE40B7">
      <w:pPr>
        <w:pStyle w:val="ab"/>
        <w:numPr>
          <w:ilvl w:val="0"/>
          <w:numId w:val="28"/>
        </w:numPr>
        <w:wordWrap w:val="0"/>
        <w:spacing w:line="320" w:lineRule="exact"/>
        <w:ind w:left="2552" w:hanging="851"/>
        <w:rPr>
          <w:rFonts w:ascii="標楷體" w:eastAsia="標楷體" w:hAnsi="標楷體"/>
          <w:szCs w:val="24"/>
        </w:rPr>
      </w:pPr>
      <w:r>
        <w:rPr>
          <w:rFonts w:ascii="標楷體" w:eastAsia="標楷體" w:hAnsi="標楷體"/>
          <w:szCs w:val="24"/>
        </w:rPr>
        <w:t>其他要求：</w:t>
      </w:r>
    </w:p>
    <w:p w:rsidR="00DE4AA2" w:rsidRDefault="00BE40B7">
      <w:pPr>
        <w:pStyle w:val="ab"/>
        <w:numPr>
          <w:ilvl w:val="0"/>
          <w:numId w:val="32"/>
        </w:numPr>
        <w:wordWrap w:val="0"/>
        <w:spacing w:line="320" w:lineRule="exact"/>
        <w:ind w:left="3261" w:hanging="381"/>
        <w:rPr>
          <w:rFonts w:ascii="標楷體" w:eastAsia="標楷體" w:hAnsi="標楷體"/>
          <w:szCs w:val="24"/>
        </w:rPr>
      </w:pPr>
      <w:r>
        <w:rPr>
          <w:rFonts w:ascii="標楷體" w:eastAsia="標楷體" w:hAnsi="標楷體"/>
          <w:szCs w:val="24"/>
        </w:rPr>
        <w:t>限期改善：乙方未依本契約之約定投保、續保、辦理變更，或依產業通行之標準有保額不足，或保險項目、保險期限、保險條件及理賠範圍等有不妥時，甲方得以書面限期要求乙方改善。</w:t>
      </w:r>
    </w:p>
    <w:p w:rsidR="00DE4AA2" w:rsidRDefault="00BE40B7">
      <w:pPr>
        <w:pStyle w:val="ab"/>
        <w:numPr>
          <w:ilvl w:val="0"/>
          <w:numId w:val="32"/>
        </w:numPr>
        <w:wordWrap w:val="0"/>
        <w:spacing w:line="320" w:lineRule="exact"/>
        <w:ind w:left="3261" w:hanging="381"/>
        <w:rPr>
          <w:rFonts w:ascii="標楷體" w:eastAsia="標楷體" w:hAnsi="標楷體"/>
          <w:szCs w:val="24"/>
        </w:rPr>
      </w:pPr>
      <w:r>
        <w:rPr>
          <w:rFonts w:ascii="標楷體" w:eastAsia="標楷體" w:hAnsi="標楷體"/>
          <w:szCs w:val="24"/>
        </w:rPr>
        <w:t>未購或不足額保險：</w:t>
      </w:r>
    </w:p>
    <w:p w:rsidR="00DE4AA2" w:rsidRDefault="00BE40B7">
      <w:pPr>
        <w:pStyle w:val="ab"/>
        <w:numPr>
          <w:ilvl w:val="0"/>
          <w:numId w:val="33"/>
        </w:numPr>
        <w:wordWrap w:val="0"/>
        <w:spacing w:line="320" w:lineRule="exact"/>
        <w:ind w:left="3828" w:hanging="426"/>
        <w:rPr>
          <w:rFonts w:ascii="標楷體" w:eastAsia="標楷體" w:hAnsi="標楷體"/>
          <w:szCs w:val="24"/>
        </w:rPr>
      </w:pPr>
      <w:r>
        <w:rPr>
          <w:rFonts w:ascii="標楷體" w:eastAsia="標楷體" w:hAnsi="標楷體"/>
          <w:szCs w:val="24"/>
        </w:rPr>
        <w:lastRenderedPageBreak/>
        <w:t>因乙方未購買必要保險或足額保險，致發生事故無法請求保險理賠者，其損失應完全由乙方承擔，甲方不負任何補償之責。</w:t>
      </w:r>
    </w:p>
    <w:p w:rsidR="00DE4AA2" w:rsidRDefault="00BE40B7">
      <w:pPr>
        <w:pStyle w:val="ab"/>
        <w:numPr>
          <w:ilvl w:val="0"/>
          <w:numId w:val="33"/>
        </w:numPr>
        <w:wordWrap w:val="0"/>
        <w:spacing w:line="320" w:lineRule="exact"/>
        <w:ind w:left="3828" w:hanging="426"/>
        <w:rPr>
          <w:rFonts w:ascii="標楷體" w:eastAsia="標楷體" w:hAnsi="標楷體"/>
          <w:szCs w:val="24"/>
        </w:rPr>
      </w:pPr>
      <w:r>
        <w:rPr>
          <w:rFonts w:ascii="標楷體" w:eastAsia="標楷體" w:hAnsi="標楷體"/>
          <w:szCs w:val="24"/>
        </w:rPr>
        <w:t>於本契約期間發生任何保險事故，導致乙方之建置、營運受到阻礙而受有損失者，該損失應由乙方投保之保險給付加以填補，倘有不足之部分，應由乙方完全承擔，甲方不負任何補償之責。</w:t>
      </w:r>
    </w:p>
    <w:p w:rsidR="00DE4AA2" w:rsidRDefault="00BE40B7">
      <w:pPr>
        <w:pStyle w:val="ab"/>
        <w:numPr>
          <w:ilvl w:val="0"/>
          <w:numId w:val="33"/>
        </w:numPr>
        <w:wordWrap w:val="0"/>
        <w:spacing w:line="320" w:lineRule="exact"/>
        <w:ind w:left="3828" w:hanging="426"/>
        <w:rPr>
          <w:rFonts w:ascii="標楷體" w:eastAsia="標楷體" w:hAnsi="標楷體"/>
          <w:szCs w:val="24"/>
        </w:rPr>
      </w:pPr>
      <w:r>
        <w:rPr>
          <w:rFonts w:ascii="標楷體" w:eastAsia="標楷體" w:hAnsi="標楷體"/>
          <w:szCs w:val="24"/>
        </w:rPr>
        <w:t>保險效力之延長，本契約期間如有延長，乙方應即延長相關保險期限，並負擔所生之費用，且應使相關承包商、供應商或專業顧問適度延長其保險期限；如有違反，乙方應自行承擔相關風險及損害。</w:t>
      </w:r>
    </w:p>
    <w:p w:rsidR="00DE4AA2" w:rsidRDefault="00BE40B7">
      <w:pPr>
        <w:pStyle w:val="ab"/>
        <w:wordWrap w:val="0"/>
        <w:spacing w:line="320" w:lineRule="exact"/>
        <w:ind w:left="1680" w:hanging="1680"/>
        <w:rPr>
          <w:rFonts w:ascii="標楷體" w:eastAsia="標楷體" w:hAnsi="標楷體"/>
          <w:szCs w:val="24"/>
        </w:rPr>
      </w:pPr>
      <w:r>
        <w:rPr>
          <w:rFonts w:ascii="標楷體" w:eastAsia="標楷體" w:hAnsi="標楷體"/>
          <w:szCs w:val="24"/>
        </w:rPr>
        <w:t>第 十七 條　　甲方終止契約</w:t>
      </w:r>
    </w:p>
    <w:p w:rsidR="00DE4AA2" w:rsidRDefault="00BE40B7">
      <w:pPr>
        <w:pStyle w:val="ab"/>
        <w:numPr>
          <w:ilvl w:val="0"/>
          <w:numId w:val="34"/>
        </w:numPr>
        <w:wordWrap w:val="0"/>
        <w:spacing w:line="320" w:lineRule="exact"/>
        <w:ind w:left="2268" w:hanging="567"/>
        <w:rPr>
          <w:rFonts w:ascii="標楷體" w:eastAsia="標楷體" w:hAnsi="標楷體"/>
          <w:szCs w:val="24"/>
        </w:rPr>
      </w:pPr>
      <w:r>
        <w:rPr>
          <w:rFonts w:ascii="標楷體" w:eastAsia="標楷體" w:hAnsi="標楷體"/>
          <w:szCs w:val="24"/>
        </w:rPr>
        <w:t>有下列各目情形之一者，甲方得隨時終止契約，乙方不得向甲方請求任何賠償或補償：</w:t>
      </w:r>
    </w:p>
    <w:p w:rsidR="00DE4AA2" w:rsidRDefault="00BE40B7">
      <w:pPr>
        <w:pStyle w:val="ab"/>
        <w:numPr>
          <w:ilvl w:val="0"/>
          <w:numId w:val="35"/>
        </w:numPr>
        <w:wordWrap w:val="0"/>
        <w:spacing w:line="320" w:lineRule="exact"/>
        <w:ind w:left="2694" w:hanging="426"/>
        <w:rPr>
          <w:rFonts w:ascii="標楷體" w:eastAsia="標楷體" w:hAnsi="標楷體"/>
          <w:szCs w:val="24"/>
        </w:rPr>
      </w:pPr>
      <w:r>
        <w:rPr>
          <w:rFonts w:ascii="標楷體" w:eastAsia="標楷體" w:hAnsi="標楷體"/>
          <w:szCs w:val="24"/>
        </w:rPr>
        <w:t>政府因舉辦公共事業需要或公務需要或依法變更使用。</w:t>
      </w:r>
    </w:p>
    <w:p w:rsidR="00DE4AA2" w:rsidRDefault="00BE40B7">
      <w:pPr>
        <w:pStyle w:val="ab"/>
        <w:numPr>
          <w:ilvl w:val="0"/>
          <w:numId w:val="35"/>
        </w:numPr>
        <w:wordWrap w:val="0"/>
        <w:spacing w:line="320" w:lineRule="exact"/>
        <w:ind w:left="2694" w:hanging="426"/>
        <w:rPr>
          <w:rFonts w:ascii="標楷體" w:eastAsia="標楷體" w:hAnsi="標楷體"/>
          <w:szCs w:val="24"/>
        </w:rPr>
      </w:pPr>
      <w:r>
        <w:rPr>
          <w:rFonts w:ascii="標楷體" w:eastAsia="標楷體" w:hAnsi="標楷體"/>
          <w:szCs w:val="24"/>
        </w:rPr>
        <w:t>政府因實施國家政策、都市計畫、開發利用必須收回。</w:t>
      </w:r>
    </w:p>
    <w:p w:rsidR="00DE4AA2" w:rsidRDefault="00BE40B7">
      <w:pPr>
        <w:pStyle w:val="ab"/>
        <w:numPr>
          <w:ilvl w:val="0"/>
          <w:numId w:val="35"/>
        </w:numPr>
        <w:wordWrap w:val="0"/>
        <w:spacing w:line="320" w:lineRule="exact"/>
        <w:ind w:left="2694" w:hanging="426"/>
        <w:rPr>
          <w:rFonts w:ascii="標楷體" w:eastAsia="標楷體" w:hAnsi="標楷體"/>
          <w:szCs w:val="24"/>
        </w:rPr>
      </w:pPr>
      <w:r>
        <w:rPr>
          <w:rFonts w:ascii="標楷體" w:eastAsia="標楷體" w:hAnsi="標楷體"/>
          <w:szCs w:val="24"/>
        </w:rPr>
        <w:t>經臺北市政府依法出售。</w:t>
      </w:r>
    </w:p>
    <w:p w:rsidR="00DE4AA2" w:rsidRDefault="00BE40B7">
      <w:pPr>
        <w:pStyle w:val="ab"/>
        <w:numPr>
          <w:ilvl w:val="0"/>
          <w:numId w:val="35"/>
        </w:numPr>
        <w:wordWrap w:val="0"/>
        <w:spacing w:line="320" w:lineRule="exact"/>
        <w:ind w:left="2694" w:hanging="426"/>
        <w:rPr>
          <w:rFonts w:ascii="標楷體" w:eastAsia="標楷體" w:hAnsi="標楷體"/>
          <w:szCs w:val="24"/>
        </w:rPr>
      </w:pPr>
      <w:r>
        <w:rPr>
          <w:rFonts w:ascii="標楷體" w:eastAsia="標楷體" w:hAnsi="標楷體"/>
          <w:szCs w:val="24"/>
        </w:rPr>
        <w:t>乙方為參加投標廠商與本府有場地使用或租金糾紛尚未結案者。</w:t>
      </w:r>
    </w:p>
    <w:p w:rsidR="00DE4AA2" w:rsidRDefault="00BE40B7">
      <w:pPr>
        <w:pStyle w:val="ab"/>
        <w:numPr>
          <w:ilvl w:val="0"/>
          <w:numId w:val="35"/>
        </w:numPr>
        <w:wordWrap w:val="0"/>
        <w:spacing w:line="320" w:lineRule="exact"/>
        <w:ind w:left="2694" w:hanging="426"/>
        <w:rPr>
          <w:rFonts w:ascii="標楷體" w:eastAsia="標楷體" w:hAnsi="標楷體"/>
          <w:szCs w:val="24"/>
        </w:rPr>
      </w:pPr>
      <w:r>
        <w:rPr>
          <w:rFonts w:ascii="標楷體" w:eastAsia="標楷體" w:hAnsi="標楷體"/>
          <w:szCs w:val="24"/>
        </w:rPr>
        <w:t>乙方為受主管機關停業處分期限未滿者。</w:t>
      </w:r>
    </w:p>
    <w:p w:rsidR="00DE4AA2" w:rsidRDefault="00BE40B7">
      <w:pPr>
        <w:pStyle w:val="ab"/>
        <w:numPr>
          <w:ilvl w:val="0"/>
          <w:numId w:val="35"/>
        </w:numPr>
        <w:wordWrap w:val="0"/>
        <w:spacing w:line="320" w:lineRule="exact"/>
        <w:ind w:left="2694" w:hanging="426"/>
        <w:rPr>
          <w:rFonts w:ascii="標楷體" w:eastAsia="標楷體" w:hAnsi="標楷體"/>
          <w:szCs w:val="24"/>
        </w:rPr>
      </w:pPr>
      <w:r>
        <w:rPr>
          <w:rFonts w:ascii="標楷體" w:eastAsia="標楷體" w:hAnsi="標楷體"/>
          <w:szCs w:val="24"/>
        </w:rPr>
        <w:t>乙方為逃漏稅捐經法院判決確定者。</w:t>
      </w:r>
    </w:p>
    <w:p w:rsidR="00DE4AA2" w:rsidRDefault="00BE40B7">
      <w:pPr>
        <w:pStyle w:val="ab"/>
        <w:numPr>
          <w:ilvl w:val="0"/>
          <w:numId w:val="35"/>
        </w:numPr>
        <w:wordWrap w:val="0"/>
        <w:spacing w:line="320" w:lineRule="exact"/>
        <w:ind w:left="2694" w:hanging="426"/>
        <w:rPr>
          <w:rFonts w:ascii="標楷體" w:eastAsia="標楷體" w:hAnsi="標楷體"/>
          <w:szCs w:val="24"/>
        </w:rPr>
      </w:pPr>
      <w:r>
        <w:rPr>
          <w:rFonts w:ascii="標楷體" w:eastAsia="標楷體" w:hAnsi="標楷體"/>
          <w:szCs w:val="24"/>
        </w:rPr>
        <w:t>乙方為涉及走私或壟斷市場物資經法院判決確定者。</w:t>
      </w:r>
    </w:p>
    <w:p w:rsidR="00DE4AA2" w:rsidRDefault="00BE40B7">
      <w:pPr>
        <w:pStyle w:val="ab"/>
        <w:numPr>
          <w:ilvl w:val="0"/>
          <w:numId w:val="35"/>
        </w:numPr>
        <w:wordWrap w:val="0"/>
        <w:spacing w:line="320" w:lineRule="exact"/>
        <w:ind w:left="2694" w:hanging="426"/>
        <w:rPr>
          <w:rFonts w:ascii="標楷體" w:eastAsia="標楷體" w:hAnsi="標楷體"/>
          <w:szCs w:val="24"/>
        </w:rPr>
      </w:pPr>
      <w:r>
        <w:rPr>
          <w:rFonts w:ascii="標楷體" w:eastAsia="標楷體" w:hAnsi="標楷體"/>
          <w:szCs w:val="24"/>
        </w:rPr>
        <w:t>乙方有政府採購法第一百零三條第一項不得參加投標或作為決標對象或分包廠商之情形。</w:t>
      </w:r>
    </w:p>
    <w:p w:rsidR="00DE4AA2" w:rsidRDefault="00BE40B7">
      <w:pPr>
        <w:pStyle w:val="ab"/>
        <w:numPr>
          <w:ilvl w:val="0"/>
          <w:numId w:val="35"/>
        </w:numPr>
        <w:wordWrap w:val="0"/>
        <w:spacing w:line="320" w:lineRule="exact"/>
        <w:ind w:left="2694" w:hanging="426"/>
        <w:rPr>
          <w:rFonts w:ascii="標楷體" w:eastAsia="標楷體" w:hAnsi="標楷體"/>
          <w:szCs w:val="24"/>
        </w:rPr>
      </w:pPr>
      <w:r>
        <w:rPr>
          <w:rFonts w:ascii="標楷體" w:eastAsia="標楷體" w:hAnsi="標楷體"/>
          <w:szCs w:val="24"/>
        </w:rPr>
        <w:t>回饋金繳納期限屆至而仍未繳納回饋金或報告，經甲方連續催告3次仍未履行者，或逾期繳納回饋金或報告次數於使用期間內累計達3次者。</w:t>
      </w:r>
    </w:p>
    <w:p w:rsidR="00DE4AA2" w:rsidRDefault="00BE40B7">
      <w:pPr>
        <w:pStyle w:val="ab"/>
        <w:numPr>
          <w:ilvl w:val="0"/>
          <w:numId w:val="35"/>
        </w:numPr>
        <w:wordWrap w:val="0"/>
        <w:spacing w:line="320" w:lineRule="exact"/>
        <w:ind w:left="2694" w:hanging="426"/>
        <w:rPr>
          <w:rFonts w:ascii="標楷體" w:eastAsia="標楷體" w:hAnsi="標楷體"/>
          <w:szCs w:val="24"/>
        </w:rPr>
      </w:pPr>
      <w:r>
        <w:rPr>
          <w:rFonts w:ascii="標楷體" w:eastAsia="標楷體" w:hAnsi="標楷體"/>
          <w:szCs w:val="24"/>
        </w:rPr>
        <w:t>乙方未經同意擅自出租、分租、轉讓他人或以任何方式交由他人使用。</w:t>
      </w:r>
    </w:p>
    <w:p w:rsidR="00DE4AA2" w:rsidRDefault="00BE40B7">
      <w:pPr>
        <w:pStyle w:val="ab"/>
        <w:numPr>
          <w:ilvl w:val="0"/>
          <w:numId w:val="35"/>
        </w:numPr>
        <w:wordWrap w:val="0"/>
        <w:spacing w:line="320" w:lineRule="exact"/>
        <w:ind w:left="2694" w:hanging="426"/>
        <w:rPr>
          <w:rFonts w:ascii="標楷體" w:eastAsia="標楷體" w:hAnsi="標楷體"/>
          <w:szCs w:val="24"/>
        </w:rPr>
      </w:pPr>
      <w:r>
        <w:rPr>
          <w:rFonts w:ascii="標楷體" w:eastAsia="標楷體" w:hAnsi="標楷體"/>
          <w:szCs w:val="24"/>
        </w:rPr>
        <w:t>因可歸責乙方之事由致毀損公用房地或其他設備而不負責修護，並經甲方限期改善仍未改善。</w:t>
      </w:r>
    </w:p>
    <w:p w:rsidR="00DE4AA2" w:rsidRDefault="00BE40B7">
      <w:pPr>
        <w:pStyle w:val="ab"/>
        <w:numPr>
          <w:ilvl w:val="0"/>
          <w:numId w:val="35"/>
        </w:numPr>
        <w:wordWrap w:val="0"/>
        <w:spacing w:line="320" w:lineRule="exact"/>
        <w:ind w:left="2694" w:hanging="426"/>
        <w:rPr>
          <w:rFonts w:ascii="標楷體" w:eastAsia="標楷體" w:hAnsi="標楷體"/>
          <w:szCs w:val="24"/>
        </w:rPr>
      </w:pPr>
      <w:r>
        <w:rPr>
          <w:rFonts w:ascii="標楷體" w:eastAsia="標楷體" w:hAnsi="標楷體"/>
          <w:szCs w:val="24"/>
        </w:rPr>
        <w:t>乙方未經同意，擅增設地上物、變更使用公用房地或約定用途，並經甲方限期改善仍未改善。</w:t>
      </w:r>
    </w:p>
    <w:p w:rsidR="00DE4AA2" w:rsidRDefault="00BE40B7">
      <w:pPr>
        <w:pStyle w:val="ab"/>
        <w:numPr>
          <w:ilvl w:val="0"/>
          <w:numId w:val="35"/>
        </w:numPr>
        <w:wordWrap w:val="0"/>
        <w:spacing w:line="320" w:lineRule="exact"/>
        <w:ind w:left="2694" w:hanging="426"/>
        <w:rPr>
          <w:rFonts w:ascii="標楷體" w:eastAsia="標楷體" w:hAnsi="標楷體"/>
          <w:szCs w:val="24"/>
        </w:rPr>
      </w:pPr>
      <w:r>
        <w:rPr>
          <w:rFonts w:ascii="標楷體" w:eastAsia="標楷體" w:hAnsi="標楷體"/>
          <w:szCs w:val="24"/>
        </w:rPr>
        <w:t>乙方受破產宣告或解散。</w:t>
      </w:r>
    </w:p>
    <w:p w:rsidR="00DE4AA2" w:rsidRDefault="00BE40B7">
      <w:pPr>
        <w:pStyle w:val="ab"/>
        <w:numPr>
          <w:ilvl w:val="0"/>
          <w:numId w:val="35"/>
        </w:numPr>
        <w:wordWrap w:val="0"/>
        <w:spacing w:line="320" w:lineRule="exact"/>
        <w:ind w:left="2694" w:hanging="426"/>
        <w:rPr>
          <w:rFonts w:ascii="標楷體" w:eastAsia="標楷體" w:hAnsi="標楷體"/>
          <w:szCs w:val="24"/>
        </w:rPr>
      </w:pPr>
      <w:r>
        <w:rPr>
          <w:rFonts w:ascii="標楷體" w:eastAsia="標楷體" w:hAnsi="標楷體"/>
          <w:szCs w:val="24"/>
        </w:rPr>
        <w:t>乙方違反本契約之約定，情節重大，並經甲方限期改善而仍不改善。</w:t>
      </w:r>
    </w:p>
    <w:p w:rsidR="00DE4AA2" w:rsidRDefault="00BE40B7">
      <w:pPr>
        <w:pStyle w:val="ab"/>
        <w:numPr>
          <w:ilvl w:val="0"/>
          <w:numId w:val="35"/>
        </w:numPr>
        <w:wordWrap w:val="0"/>
        <w:spacing w:line="320" w:lineRule="exact"/>
        <w:ind w:left="2694" w:hanging="426"/>
        <w:rPr>
          <w:rFonts w:ascii="標楷體" w:eastAsia="標楷體" w:hAnsi="標楷體"/>
          <w:szCs w:val="24"/>
        </w:rPr>
      </w:pPr>
      <w:r>
        <w:rPr>
          <w:rFonts w:ascii="標楷體" w:eastAsia="標楷體" w:hAnsi="標楷體"/>
          <w:szCs w:val="24"/>
        </w:rPr>
        <w:t>乙方使用公用房地違反法令。</w:t>
      </w:r>
    </w:p>
    <w:p w:rsidR="00DE4AA2" w:rsidRDefault="00BE40B7">
      <w:pPr>
        <w:pStyle w:val="ab"/>
        <w:numPr>
          <w:ilvl w:val="0"/>
          <w:numId w:val="35"/>
        </w:numPr>
        <w:wordWrap w:val="0"/>
        <w:spacing w:line="320" w:lineRule="exact"/>
        <w:ind w:left="2694" w:hanging="426"/>
      </w:pPr>
      <w:r>
        <w:rPr>
          <w:rFonts w:ascii="標楷體" w:eastAsia="標楷體" w:hAnsi="標楷體"/>
          <w:szCs w:val="24"/>
        </w:rPr>
        <w:t>依其他</w:t>
      </w:r>
      <w:r>
        <w:rPr>
          <w:rFonts w:ascii="標楷體" w:eastAsia="標楷體" w:hAnsi="標楷體" w:cs="細明體"/>
          <w:szCs w:val="24"/>
        </w:rPr>
        <w:t>法令規定，得終止契約。</w:t>
      </w:r>
    </w:p>
    <w:p w:rsidR="00DE4AA2" w:rsidRDefault="00BE40B7">
      <w:pPr>
        <w:pStyle w:val="ab"/>
        <w:numPr>
          <w:ilvl w:val="0"/>
          <w:numId w:val="34"/>
        </w:numPr>
        <w:wordWrap w:val="0"/>
        <w:spacing w:line="320" w:lineRule="exact"/>
        <w:ind w:left="2268" w:hanging="567"/>
        <w:rPr>
          <w:rFonts w:ascii="標楷體" w:eastAsia="標楷體" w:hAnsi="標楷體"/>
          <w:szCs w:val="24"/>
        </w:rPr>
      </w:pPr>
      <w:r>
        <w:rPr>
          <w:rFonts w:ascii="標楷體" w:eastAsia="標楷體" w:hAnsi="標楷體"/>
          <w:szCs w:val="24"/>
        </w:rPr>
        <w:t>甲方依前款第4目至第15目及可歸責於乙方事由依16目規定終止契約者，乙方所繳之履約保證金由甲方沒收，回饋金乙方不得請求返還或補償，乙方並同意放棄以履約保證金抵付回饋金之抗辯權，其因而致甲方受損害者，甲方並得請求損害賠償；甲方依前款第1目至第3目及不可歸責於乙方依16目規定終止契約者，甲方應退還全額履約保證金或其餘額。</w:t>
      </w:r>
    </w:p>
    <w:p w:rsidR="00DE4AA2" w:rsidRDefault="00BE40B7">
      <w:pPr>
        <w:pStyle w:val="ab"/>
        <w:wordWrap w:val="0"/>
        <w:spacing w:line="320" w:lineRule="exact"/>
        <w:rPr>
          <w:rFonts w:ascii="標楷體" w:eastAsia="標楷體" w:hAnsi="標楷體"/>
          <w:szCs w:val="24"/>
        </w:rPr>
      </w:pPr>
      <w:r>
        <w:rPr>
          <w:rFonts w:ascii="標楷體" w:eastAsia="標楷體" w:hAnsi="標楷體"/>
          <w:szCs w:val="24"/>
        </w:rPr>
        <w:t>第 十八 條　　乙方提前終止契約</w:t>
      </w:r>
    </w:p>
    <w:p w:rsidR="00DE4AA2" w:rsidRDefault="00BE40B7">
      <w:pPr>
        <w:pStyle w:val="ab"/>
        <w:wordWrap w:val="0"/>
        <w:spacing w:line="320" w:lineRule="exact"/>
        <w:ind w:left="1560"/>
        <w:rPr>
          <w:rFonts w:ascii="標楷體" w:eastAsia="標楷體" w:hAnsi="標楷體"/>
          <w:szCs w:val="24"/>
        </w:rPr>
      </w:pPr>
      <w:r>
        <w:rPr>
          <w:rFonts w:ascii="標楷體" w:eastAsia="標楷體" w:hAnsi="標楷體"/>
          <w:szCs w:val="24"/>
        </w:rPr>
        <w:t>乙方於使用期間內擬提前終止契約者，應於3個月前以書面向甲方提出申請，經甲方書面同意後，始得終止契約，乙方不得向甲方要求任何補償。甲方同意乙方終止契約後，其已繳交之履約保證金由甲方沒收，回饋金不得請求返還或補償。</w:t>
      </w:r>
    </w:p>
    <w:p w:rsidR="00DE4AA2" w:rsidRDefault="00BE40B7">
      <w:pPr>
        <w:pStyle w:val="ab"/>
        <w:wordWrap w:val="0"/>
        <w:spacing w:line="320" w:lineRule="exact"/>
        <w:ind w:left="1680" w:hanging="1680"/>
        <w:rPr>
          <w:rFonts w:ascii="標楷體" w:eastAsia="標楷體" w:hAnsi="標楷體"/>
          <w:szCs w:val="24"/>
        </w:rPr>
      </w:pPr>
      <w:r>
        <w:rPr>
          <w:rFonts w:ascii="標楷體" w:eastAsia="標楷體" w:hAnsi="標楷體"/>
          <w:szCs w:val="24"/>
        </w:rPr>
        <w:lastRenderedPageBreak/>
        <w:t>第 十九 條　　法令變更</w:t>
      </w:r>
    </w:p>
    <w:p w:rsidR="00DE4AA2" w:rsidRDefault="00BE40B7">
      <w:pPr>
        <w:pStyle w:val="ab"/>
        <w:wordWrap w:val="0"/>
        <w:spacing w:line="320" w:lineRule="exact"/>
        <w:ind w:left="1080" w:firstLine="432"/>
        <w:rPr>
          <w:rFonts w:ascii="標楷體" w:eastAsia="標楷體" w:hAnsi="標楷體"/>
          <w:szCs w:val="24"/>
        </w:rPr>
      </w:pPr>
      <w:r>
        <w:rPr>
          <w:rFonts w:ascii="標楷體" w:eastAsia="標楷體" w:hAnsi="標楷體"/>
          <w:szCs w:val="24"/>
        </w:rPr>
        <w:t>本契約所稱法令變更，係指因本契約簽訂時所無法預見之法令或政府政策之變更，致對乙方之太陽光電發電設備設置或營運之執行，或財務狀況發生不利影響者。</w:t>
      </w:r>
    </w:p>
    <w:p w:rsidR="00DE4AA2" w:rsidRDefault="00BE40B7">
      <w:pPr>
        <w:pStyle w:val="ab"/>
        <w:wordWrap w:val="0"/>
        <w:spacing w:line="320" w:lineRule="exact"/>
        <w:ind w:left="1680" w:hanging="1680"/>
        <w:rPr>
          <w:rFonts w:ascii="標楷體" w:eastAsia="標楷體" w:hAnsi="標楷體"/>
          <w:szCs w:val="24"/>
        </w:rPr>
      </w:pPr>
      <w:r>
        <w:rPr>
          <w:rFonts w:ascii="標楷體" w:eastAsia="標楷體" w:hAnsi="標楷體"/>
          <w:szCs w:val="24"/>
        </w:rPr>
        <w:t>第 二十 條　　法令變更之通知及認定</w:t>
      </w:r>
    </w:p>
    <w:p w:rsidR="00DE4AA2" w:rsidRDefault="00BE40B7">
      <w:pPr>
        <w:pStyle w:val="ab"/>
        <w:numPr>
          <w:ilvl w:val="0"/>
          <w:numId w:val="36"/>
        </w:numPr>
        <w:wordWrap w:val="0"/>
        <w:spacing w:line="320" w:lineRule="exact"/>
        <w:ind w:left="2268" w:hanging="567"/>
        <w:rPr>
          <w:rFonts w:ascii="標楷體" w:eastAsia="標楷體" w:hAnsi="標楷體"/>
          <w:szCs w:val="24"/>
        </w:rPr>
      </w:pPr>
      <w:r>
        <w:rPr>
          <w:rFonts w:ascii="標楷體" w:eastAsia="標楷體" w:hAnsi="標楷體"/>
          <w:szCs w:val="24"/>
        </w:rPr>
        <w:t>於發生法令變更之情形時，任何一方均得以書面就下列事項，通知他方回覆：</w:t>
      </w:r>
    </w:p>
    <w:p w:rsidR="00DE4AA2" w:rsidRDefault="00BE40B7">
      <w:pPr>
        <w:pStyle w:val="ab"/>
        <w:numPr>
          <w:ilvl w:val="0"/>
          <w:numId w:val="37"/>
        </w:numPr>
        <w:wordWrap w:val="0"/>
        <w:spacing w:line="320" w:lineRule="exact"/>
        <w:ind w:left="2552" w:hanging="284"/>
        <w:rPr>
          <w:rFonts w:ascii="標楷體" w:eastAsia="標楷體" w:hAnsi="標楷體"/>
          <w:szCs w:val="24"/>
        </w:rPr>
      </w:pPr>
      <w:r>
        <w:rPr>
          <w:rFonts w:ascii="標楷體" w:eastAsia="標楷體" w:hAnsi="標楷體"/>
          <w:szCs w:val="24"/>
        </w:rPr>
        <w:t>本契約之使用範圍是否應配合變動。</w:t>
      </w:r>
    </w:p>
    <w:p w:rsidR="00DE4AA2" w:rsidRDefault="00BE40B7">
      <w:pPr>
        <w:pStyle w:val="ab"/>
        <w:numPr>
          <w:ilvl w:val="0"/>
          <w:numId w:val="37"/>
        </w:numPr>
        <w:wordWrap w:val="0"/>
        <w:spacing w:line="320" w:lineRule="exact"/>
        <w:ind w:left="2552" w:hanging="284"/>
        <w:rPr>
          <w:rFonts w:ascii="標楷體" w:eastAsia="標楷體" w:hAnsi="標楷體"/>
          <w:szCs w:val="24"/>
        </w:rPr>
      </w:pPr>
      <w:r>
        <w:rPr>
          <w:rFonts w:ascii="標楷體" w:eastAsia="標楷體" w:hAnsi="標楷體"/>
          <w:szCs w:val="24"/>
        </w:rPr>
        <w:t>本契約內容是否應配合修改。</w:t>
      </w:r>
    </w:p>
    <w:p w:rsidR="00DE4AA2" w:rsidRDefault="00BE40B7">
      <w:pPr>
        <w:pStyle w:val="ab"/>
        <w:numPr>
          <w:ilvl w:val="0"/>
          <w:numId w:val="37"/>
        </w:numPr>
        <w:wordWrap w:val="0"/>
        <w:spacing w:line="320" w:lineRule="exact"/>
        <w:ind w:left="2552" w:hanging="284"/>
        <w:rPr>
          <w:rFonts w:ascii="標楷體" w:eastAsia="標楷體" w:hAnsi="標楷體"/>
          <w:szCs w:val="24"/>
        </w:rPr>
      </w:pPr>
      <w:r>
        <w:rPr>
          <w:rFonts w:ascii="標楷體" w:eastAsia="標楷體" w:hAnsi="標楷體"/>
          <w:szCs w:val="24"/>
        </w:rPr>
        <w:t>本契約相關期日是否應配合展延。</w:t>
      </w:r>
    </w:p>
    <w:p w:rsidR="00DE4AA2" w:rsidRDefault="00BE40B7">
      <w:pPr>
        <w:pStyle w:val="ab"/>
        <w:numPr>
          <w:ilvl w:val="0"/>
          <w:numId w:val="37"/>
        </w:numPr>
        <w:wordWrap w:val="0"/>
        <w:spacing w:line="320" w:lineRule="exact"/>
        <w:ind w:left="2552" w:hanging="284"/>
        <w:rPr>
          <w:rFonts w:ascii="標楷體" w:eastAsia="標楷體" w:hAnsi="標楷體"/>
          <w:szCs w:val="24"/>
        </w:rPr>
      </w:pPr>
      <w:r>
        <w:rPr>
          <w:rFonts w:ascii="標楷體" w:eastAsia="標楷體" w:hAnsi="標楷體"/>
          <w:szCs w:val="24"/>
        </w:rPr>
        <w:t>因法令變更所致之損害。</w:t>
      </w:r>
    </w:p>
    <w:p w:rsidR="00DE4AA2" w:rsidRDefault="00BE40B7">
      <w:pPr>
        <w:pStyle w:val="ab"/>
        <w:numPr>
          <w:ilvl w:val="0"/>
          <w:numId w:val="36"/>
        </w:numPr>
        <w:wordWrap w:val="0"/>
        <w:spacing w:line="320" w:lineRule="exact"/>
        <w:ind w:left="2268" w:hanging="567"/>
        <w:rPr>
          <w:rFonts w:ascii="標楷體" w:eastAsia="標楷體" w:hAnsi="標楷體"/>
          <w:szCs w:val="24"/>
        </w:rPr>
      </w:pPr>
      <w:r>
        <w:rPr>
          <w:rFonts w:ascii="標楷體" w:eastAsia="標楷體" w:hAnsi="標楷體"/>
          <w:szCs w:val="24"/>
        </w:rPr>
        <w:t>任何一方於收到他方依前款之通知後，雙方應即綜合當時情況加以認定。</w:t>
      </w:r>
    </w:p>
    <w:p w:rsidR="00DE4AA2" w:rsidRDefault="00BE40B7">
      <w:pPr>
        <w:pStyle w:val="ab"/>
        <w:wordWrap w:val="0"/>
        <w:spacing w:line="320" w:lineRule="exact"/>
        <w:ind w:left="1680" w:hanging="1680"/>
        <w:rPr>
          <w:rFonts w:ascii="標楷體" w:eastAsia="標楷體" w:hAnsi="標楷體"/>
          <w:szCs w:val="24"/>
        </w:rPr>
      </w:pPr>
      <w:r>
        <w:rPr>
          <w:rFonts w:ascii="標楷體" w:eastAsia="標楷體" w:hAnsi="標楷體"/>
          <w:szCs w:val="24"/>
        </w:rPr>
        <w:t>第二十一條　　損害之減輕</w:t>
      </w:r>
    </w:p>
    <w:p w:rsidR="00DE4AA2" w:rsidRDefault="00BE40B7">
      <w:pPr>
        <w:pStyle w:val="ab"/>
        <w:wordWrap w:val="0"/>
        <w:spacing w:line="320" w:lineRule="exact"/>
        <w:ind w:left="1538" w:hanging="26"/>
        <w:rPr>
          <w:rFonts w:ascii="標楷體" w:eastAsia="標楷體" w:hAnsi="標楷體"/>
          <w:szCs w:val="24"/>
        </w:rPr>
      </w:pPr>
      <w:r>
        <w:rPr>
          <w:rFonts w:ascii="標楷體" w:eastAsia="標楷體" w:hAnsi="標楷體"/>
          <w:szCs w:val="24"/>
        </w:rPr>
        <w:t>於發生法令變更之情形，雙方均應盡力採取各種必要之合理方法，以減輕其因此所致之損害或避免損害之擴大。</w:t>
      </w:r>
    </w:p>
    <w:p w:rsidR="00DE4AA2" w:rsidRDefault="00BE40B7">
      <w:pPr>
        <w:pStyle w:val="ab"/>
        <w:wordWrap w:val="0"/>
        <w:spacing w:line="320" w:lineRule="exact"/>
        <w:rPr>
          <w:rFonts w:ascii="標楷體" w:eastAsia="標楷體" w:hAnsi="標楷體"/>
          <w:szCs w:val="24"/>
        </w:rPr>
      </w:pPr>
      <w:r>
        <w:rPr>
          <w:rFonts w:ascii="標楷體" w:eastAsia="標楷體" w:hAnsi="標楷體"/>
          <w:szCs w:val="24"/>
        </w:rPr>
        <w:t>第二十二條　　法令變更之終止契約</w:t>
      </w:r>
    </w:p>
    <w:p w:rsidR="00DE4AA2" w:rsidRDefault="00BE40B7">
      <w:pPr>
        <w:pStyle w:val="ab"/>
        <w:numPr>
          <w:ilvl w:val="0"/>
          <w:numId w:val="38"/>
        </w:numPr>
        <w:wordWrap w:val="0"/>
        <w:spacing w:line="320" w:lineRule="exact"/>
        <w:ind w:left="2268" w:hanging="567"/>
        <w:rPr>
          <w:rFonts w:ascii="標楷體" w:eastAsia="標楷體" w:hAnsi="標楷體"/>
          <w:szCs w:val="24"/>
        </w:rPr>
      </w:pPr>
      <w:r>
        <w:rPr>
          <w:rFonts w:ascii="標楷體" w:eastAsia="標楷體" w:hAnsi="標楷體"/>
          <w:szCs w:val="24"/>
        </w:rPr>
        <w:t>因發生法令變更之情形，依本契約之規定處理後，乙方仍無法繼續太陽光電發電設備設置或營運時，雙方應即就是否繼續履行本契約或相關處理方案進行協商，仍無法達成協議時，任一方均得以書面通知他方終止本契約。</w:t>
      </w:r>
    </w:p>
    <w:p w:rsidR="00DE4AA2" w:rsidRDefault="00BE40B7">
      <w:pPr>
        <w:pStyle w:val="ab"/>
        <w:numPr>
          <w:ilvl w:val="0"/>
          <w:numId w:val="38"/>
        </w:numPr>
        <w:wordWrap w:val="0"/>
        <w:spacing w:line="320" w:lineRule="exact"/>
        <w:ind w:left="2268" w:hanging="567"/>
        <w:rPr>
          <w:rFonts w:ascii="標楷體" w:eastAsia="標楷體" w:hAnsi="標楷體"/>
          <w:szCs w:val="24"/>
        </w:rPr>
      </w:pPr>
      <w:r>
        <w:rPr>
          <w:rFonts w:ascii="標楷體" w:eastAsia="標楷體" w:hAnsi="標楷體"/>
          <w:szCs w:val="24"/>
        </w:rPr>
        <w:t>雙方依前款非可歸責於雙方之事由而終止本契約，得依下列規定處理之：</w:t>
      </w:r>
    </w:p>
    <w:p w:rsidR="00DE4AA2" w:rsidRDefault="00BE40B7">
      <w:pPr>
        <w:pStyle w:val="ab"/>
        <w:numPr>
          <w:ilvl w:val="0"/>
          <w:numId w:val="39"/>
        </w:numPr>
        <w:wordWrap w:val="0"/>
        <w:spacing w:line="320" w:lineRule="exact"/>
        <w:ind w:left="2552" w:hanging="284"/>
        <w:rPr>
          <w:rFonts w:ascii="標楷體" w:eastAsia="標楷體" w:hAnsi="標楷體"/>
          <w:szCs w:val="24"/>
        </w:rPr>
      </w:pPr>
      <w:r>
        <w:rPr>
          <w:rFonts w:ascii="標楷體" w:eastAsia="標楷體" w:hAnsi="標楷體"/>
          <w:szCs w:val="24"/>
        </w:rPr>
        <w:t>該年度乙方已繳納之房地使用回饋金按剩餘之日占該年度日數比例退還、甲方應退還全額履約保證金或其餘額。</w:t>
      </w:r>
    </w:p>
    <w:p w:rsidR="00DE4AA2" w:rsidRDefault="00BE40B7">
      <w:pPr>
        <w:pStyle w:val="ab"/>
        <w:numPr>
          <w:ilvl w:val="0"/>
          <w:numId w:val="39"/>
        </w:numPr>
        <w:wordWrap w:val="0"/>
        <w:spacing w:line="320" w:lineRule="exact"/>
        <w:ind w:left="2552" w:hanging="284"/>
        <w:rPr>
          <w:rFonts w:ascii="標楷體" w:eastAsia="標楷體" w:hAnsi="標楷體"/>
          <w:szCs w:val="24"/>
        </w:rPr>
      </w:pPr>
      <w:r>
        <w:rPr>
          <w:rFonts w:ascii="標楷體" w:eastAsia="標楷體" w:hAnsi="標楷體"/>
          <w:szCs w:val="24"/>
        </w:rPr>
        <w:t>其他經雙方同意之補救措施。</w:t>
      </w:r>
    </w:p>
    <w:p w:rsidR="00DE4AA2" w:rsidRDefault="00BE40B7">
      <w:pPr>
        <w:pStyle w:val="ab"/>
        <w:wordWrap w:val="0"/>
        <w:spacing w:line="320" w:lineRule="exact"/>
        <w:ind w:left="1680" w:hanging="1680"/>
        <w:rPr>
          <w:rFonts w:ascii="標楷體" w:eastAsia="標楷體" w:hAnsi="標楷體"/>
          <w:szCs w:val="24"/>
        </w:rPr>
      </w:pPr>
      <w:r>
        <w:rPr>
          <w:rFonts w:ascii="標楷體" w:eastAsia="標楷體" w:hAnsi="標楷體"/>
          <w:szCs w:val="24"/>
        </w:rPr>
        <w:t>第二十三條　　返還公用房地</w:t>
      </w:r>
    </w:p>
    <w:p w:rsidR="00DE4AA2" w:rsidRDefault="00BE40B7">
      <w:pPr>
        <w:pStyle w:val="ab"/>
        <w:numPr>
          <w:ilvl w:val="0"/>
          <w:numId w:val="40"/>
        </w:numPr>
        <w:wordWrap w:val="0"/>
        <w:spacing w:line="320" w:lineRule="exact"/>
        <w:ind w:left="2268" w:hanging="567"/>
        <w:rPr>
          <w:rFonts w:ascii="標楷體" w:eastAsia="標楷體" w:hAnsi="標楷體"/>
          <w:szCs w:val="24"/>
        </w:rPr>
      </w:pPr>
      <w:r>
        <w:rPr>
          <w:rFonts w:ascii="標楷體" w:eastAsia="標楷體" w:hAnsi="標楷體"/>
          <w:szCs w:val="24"/>
        </w:rPr>
        <w:t>乙方於契約解除、終止或使用期限屆滿未獲繼續使用時，應於上開期日起3個月內自行拆除太陽光電發電設備並返還使用公用房地；未拆除者，視同拋棄該太陽光電發電設備所有權，並由甲方自行處理，拆除設備費用由乙方負擔，得自履約保證金扣除，不足部分再向乙方求償。</w:t>
      </w:r>
    </w:p>
    <w:p w:rsidR="00DE4AA2" w:rsidRDefault="00BE40B7">
      <w:pPr>
        <w:pStyle w:val="ab"/>
        <w:numPr>
          <w:ilvl w:val="0"/>
          <w:numId w:val="40"/>
        </w:numPr>
        <w:wordWrap w:val="0"/>
        <w:spacing w:line="320" w:lineRule="exact"/>
        <w:ind w:left="2268" w:hanging="567"/>
        <w:rPr>
          <w:rFonts w:ascii="標楷體" w:eastAsia="標楷體" w:hAnsi="標楷體"/>
          <w:szCs w:val="24"/>
        </w:rPr>
      </w:pPr>
      <w:r>
        <w:rPr>
          <w:rFonts w:ascii="標楷體" w:eastAsia="標楷體" w:hAnsi="標楷體"/>
          <w:szCs w:val="24"/>
        </w:rPr>
        <w:t>若乙方應回復原狀而未回復原狀其所遺留之器具、傢俱及雜物一概視為廢棄物論，無條件任憑甲方處理（包含丟棄），乙方不得異議。甲方因搬移處置或丟棄該器具、傢俱及雜物等回復原狀所生之處置費用，其費用由乙方負擔。</w:t>
      </w:r>
    </w:p>
    <w:p w:rsidR="00DE4AA2" w:rsidRDefault="00BE40B7">
      <w:pPr>
        <w:pStyle w:val="ab"/>
        <w:wordWrap w:val="0"/>
        <w:spacing w:line="320" w:lineRule="exact"/>
        <w:ind w:left="1680" w:hanging="1680"/>
        <w:rPr>
          <w:rFonts w:ascii="標楷體" w:eastAsia="標楷體" w:hAnsi="標楷體"/>
          <w:szCs w:val="24"/>
        </w:rPr>
      </w:pPr>
      <w:r>
        <w:rPr>
          <w:rFonts w:ascii="標楷體" w:eastAsia="標楷體" w:hAnsi="標楷體"/>
          <w:szCs w:val="24"/>
        </w:rPr>
        <w:t>第二十四條　　返還履約保證金</w:t>
      </w:r>
    </w:p>
    <w:p w:rsidR="00DE4AA2" w:rsidRDefault="00BE40B7">
      <w:pPr>
        <w:pStyle w:val="ab"/>
        <w:numPr>
          <w:ilvl w:val="0"/>
          <w:numId w:val="41"/>
        </w:numPr>
        <w:wordWrap w:val="0"/>
        <w:spacing w:line="320" w:lineRule="exact"/>
        <w:ind w:left="2268" w:hanging="567"/>
        <w:rPr>
          <w:rFonts w:ascii="標楷體" w:eastAsia="標楷體" w:hAnsi="標楷體"/>
          <w:strike/>
          <w:szCs w:val="24"/>
        </w:rPr>
      </w:pPr>
      <w:r>
        <w:rPr>
          <w:rFonts w:ascii="標楷體" w:eastAsia="標楷體" w:hAnsi="標楷體"/>
          <w:strike/>
          <w:szCs w:val="24"/>
        </w:rPr>
        <w:t>完成所有甲方核定標的及競標設備設置容量並檢附同意併聯文件後，無息退還履約保證金50%。</w:t>
      </w:r>
    </w:p>
    <w:p w:rsidR="00DE4AA2" w:rsidRDefault="00BE40B7">
      <w:pPr>
        <w:pStyle w:val="ab"/>
        <w:numPr>
          <w:ilvl w:val="0"/>
          <w:numId w:val="41"/>
        </w:numPr>
        <w:wordWrap w:val="0"/>
        <w:spacing w:line="320" w:lineRule="exact"/>
        <w:ind w:left="2268" w:hanging="567"/>
        <w:rPr>
          <w:rFonts w:ascii="標楷體" w:eastAsia="標楷體" w:hAnsi="標楷體"/>
          <w:szCs w:val="24"/>
        </w:rPr>
      </w:pPr>
      <w:r>
        <w:rPr>
          <w:rFonts w:ascii="標楷體" w:eastAsia="標楷體" w:hAnsi="標楷體"/>
          <w:szCs w:val="24"/>
        </w:rPr>
        <w:t>本契約期滿、終止或解除後，甲方得自履約保證金中扣除乙方尚未繳納之回饋金、逾期違約金、懲罰性違約金、處理費用及損害賠償等。若仍有剩餘，應將餘款無息返還予乙方；倘有不足，乙方仍不免其責任或應負責補足差額。</w:t>
      </w:r>
    </w:p>
    <w:p w:rsidR="00DE4AA2" w:rsidRDefault="00BE40B7">
      <w:pPr>
        <w:pStyle w:val="ab"/>
        <w:wordWrap w:val="0"/>
        <w:spacing w:line="320" w:lineRule="exact"/>
        <w:ind w:left="1680" w:hanging="1680"/>
        <w:rPr>
          <w:rFonts w:ascii="標楷體" w:eastAsia="標楷體" w:hAnsi="標楷體"/>
          <w:szCs w:val="24"/>
        </w:rPr>
      </w:pPr>
      <w:r>
        <w:rPr>
          <w:rFonts w:ascii="標楷體" w:eastAsia="標楷體" w:hAnsi="標楷體"/>
          <w:szCs w:val="24"/>
        </w:rPr>
        <w:t>第二十五條　　當事人變更或法人格消滅</w:t>
      </w:r>
    </w:p>
    <w:p w:rsidR="00DE4AA2" w:rsidRDefault="00BE40B7">
      <w:pPr>
        <w:pStyle w:val="ab"/>
        <w:numPr>
          <w:ilvl w:val="0"/>
          <w:numId w:val="42"/>
        </w:numPr>
        <w:wordWrap w:val="0"/>
        <w:spacing w:line="320" w:lineRule="exact"/>
        <w:ind w:left="2268" w:hanging="567"/>
        <w:rPr>
          <w:rFonts w:ascii="標楷體" w:eastAsia="標楷體" w:hAnsi="標楷體"/>
          <w:szCs w:val="24"/>
        </w:rPr>
      </w:pPr>
      <w:r>
        <w:rPr>
          <w:rFonts w:ascii="標楷體" w:eastAsia="標楷體" w:hAnsi="標楷體"/>
          <w:szCs w:val="24"/>
        </w:rPr>
        <w:t>管理機關變更時，由變更後之管理機關承受本契約管理機關之相關權利義務。</w:t>
      </w:r>
    </w:p>
    <w:p w:rsidR="00DE4AA2" w:rsidRDefault="00BE40B7">
      <w:pPr>
        <w:pStyle w:val="ab"/>
        <w:numPr>
          <w:ilvl w:val="0"/>
          <w:numId w:val="42"/>
        </w:numPr>
        <w:wordWrap w:val="0"/>
        <w:spacing w:line="320" w:lineRule="exact"/>
        <w:ind w:left="2268" w:hanging="567"/>
        <w:rPr>
          <w:rFonts w:ascii="標楷體" w:eastAsia="標楷體" w:hAnsi="標楷體"/>
          <w:szCs w:val="24"/>
        </w:rPr>
      </w:pPr>
      <w:r>
        <w:rPr>
          <w:rFonts w:ascii="標楷體" w:eastAsia="標楷體" w:hAnsi="標楷體"/>
          <w:szCs w:val="24"/>
        </w:rPr>
        <w:t>乙方遭他公司合併或其他原因致法人格消滅者，其繼受人欲繼續使用公用房地者，應於乙方法人格消滅後三個月內以書面向甲方申請另訂新約。屆期無人申請者，本契約溯及自乙方法人格消滅之日起失效，甲方得逕</w:t>
      </w:r>
      <w:r>
        <w:rPr>
          <w:rFonts w:ascii="標楷體" w:eastAsia="標楷體" w:hAnsi="標楷體"/>
          <w:szCs w:val="24"/>
        </w:rPr>
        <w:lastRenderedPageBreak/>
        <w:t>行收回公用房地。</w:t>
      </w:r>
    </w:p>
    <w:p w:rsidR="00DE4AA2" w:rsidRDefault="00BE40B7">
      <w:pPr>
        <w:pStyle w:val="ab"/>
        <w:wordWrap w:val="0"/>
        <w:spacing w:line="320" w:lineRule="exact"/>
        <w:ind w:left="1680" w:hanging="1680"/>
        <w:rPr>
          <w:rFonts w:ascii="標楷體" w:eastAsia="標楷體" w:hAnsi="標楷體"/>
          <w:szCs w:val="24"/>
        </w:rPr>
      </w:pPr>
      <w:r>
        <w:rPr>
          <w:rFonts w:ascii="標楷體" w:eastAsia="標楷體" w:hAnsi="標楷體"/>
          <w:szCs w:val="24"/>
        </w:rPr>
        <w:t>第二十六條　　續約</w:t>
      </w:r>
    </w:p>
    <w:p w:rsidR="00DE4AA2" w:rsidRDefault="00BE40B7">
      <w:pPr>
        <w:pStyle w:val="ab"/>
        <w:numPr>
          <w:ilvl w:val="0"/>
          <w:numId w:val="43"/>
        </w:numPr>
        <w:wordWrap w:val="0"/>
        <w:spacing w:line="320" w:lineRule="exact"/>
        <w:ind w:left="2268" w:hanging="567"/>
        <w:rPr>
          <w:rFonts w:ascii="標楷體" w:eastAsia="標楷體" w:hAnsi="標楷體"/>
          <w:szCs w:val="24"/>
        </w:rPr>
      </w:pPr>
      <w:r>
        <w:rPr>
          <w:rFonts w:ascii="標楷體" w:eastAsia="標楷體" w:hAnsi="標楷體"/>
          <w:szCs w:val="24"/>
        </w:rPr>
        <w:t>乙方於使用期間內未重大違反契約（未重大違反契約定義為：a.可改善事項並已完成改善者，例如乙方毀損公用房地或其他設備而不負責修護，經甲方限期改善通知而後改善；b.違反事項次數未達限定次數，例如使用回饋金繳納期限屆至而仍未繳納使用回饋金，經甲方催告未滿3次而後履行者；c.其他尚可限期改善者。）且有意繼續使用者，應於使用期限屆滿前3個月，以書面向甲方申請續約，並經甲方及管理機關同意後，得辦理續約。續約之使用年限最長不得逾9年11個月；乙方逾期未申請者，視為乙方無意繼續使用，契約期滿後，使用關係當然消滅，公用房地由甲方收回自行處理，乙方不得異議。</w:t>
      </w:r>
    </w:p>
    <w:p w:rsidR="00DE4AA2" w:rsidRDefault="00BE40B7">
      <w:pPr>
        <w:pStyle w:val="ab"/>
        <w:numPr>
          <w:ilvl w:val="0"/>
          <w:numId w:val="43"/>
        </w:numPr>
        <w:wordWrap w:val="0"/>
        <w:spacing w:line="320" w:lineRule="exact"/>
        <w:ind w:left="2268" w:hanging="567"/>
        <w:rPr>
          <w:rFonts w:ascii="標楷體" w:eastAsia="標楷體" w:hAnsi="標楷體"/>
          <w:szCs w:val="24"/>
        </w:rPr>
      </w:pPr>
      <w:r>
        <w:rPr>
          <w:rFonts w:ascii="標楷體" w:eastAsia="標楷體" w:hAnsi="標楷體"/>
          <w:szCs w:val="24"/>
        </w:rPr>
        <w:t>乙方辦理繼續使用申請時，應注意下列事項：</w:t>
      </w:r>
    </w:p>
    <w:p w:rsidR="00DE4AA2" w:rsidRDefault="00BE40B7">
      <w:pPr>
        <w:pStyle w:val="ab"/>
        <w:numPr>
          <w:ilvl w:val="0"/>
          <w:numId w:val="44"/>
        </w:numPr>
        <w:wordWrap w:val="0"/>
        <w:spacing w:line="320" w:lineRule="exact"/>
        <w:ind w:left="2552" w:hanging="284"/>
        <w:rPr>
          <w:rFonts w:ascii="標楷體" w:eastAsia="標楷體" w:hAnsi="標楷體"/>
          <w:szCs w:val="24"/>
        </w:rPr>
      </w:pPr>
      <w:r>
        <w:rPr>
          <w:rFonts w:ascii="標楷體" w:eastAsia="標楷體" w:hAnsi="標楷體"/>
          <w:szCs w:val="24"/>
        </w:rPr>
        <w:t>繼續使用年限：自原使用期間屆滿次日起算9年11個月。</w:t>
      </w:r>
    </w:p>
    <w:p w:rsidR="00DE4AA2" w:rsidRDefault="00BE40B7">
      <w:pPr>
        <w:pStyle w:val="ab"/>
        <w:numPr>
          <w:ilvl w:val="0"/>
          <w:numId w:val="44"/>
        </w:numPr>
        <w:wordWrap w:val="0"/>
        <w:spacing w:line="320" w:lineRule="exact"/>
        <w:ind w:left="2552" w:hanging="284"/>
        <w:rPr>
          <w:rFonts w:ascii="標楷體" w:eastAsia="標楷體" w:hAnsi="標楷體"/>
          <w:szCs w:val="24"/>
        </w:rPr>
      </w:pPr>
      <w:r>
        <w:rPr>
          <w:rFonts w:ascii="標楷體" w:eastAsia="標楷體" w:hAnsi="標楷體"/>
          <w:szCs w:val="24"/>
        </w:rPr>
        <w:t>如同意繼續使用，則回饋金依原售電回饋百分比計算，以作為繼續使用條件。</w:t>
      </w:r>
    </w:p>
    <w:p w:rsidR="00DE4AA2" w:rsidRDefault="00BE40B7">
      <w:pPr>
        <w:pStyle w:val="ab"/>
        <w:wordWrap w:val="0"/>
        <w:spacing w:line="320" w:lineRule="exact"/>
        <w:rPr>
          <w:rFonts w:ascii="標楷體" w:eastAsia="標楷體" w:hAnsi="標楷體"/>
          <w:szCs w:val="24"/>
        </w:rPr>
      </w:pPr>
      <w:r>
        <w:rPr>
          <w:rFonts w:ascii="標楷體" w:eastAsia="標楷體" w:hAnsi="標楷體"/>
          <w:szCs w:val="24"/>
        </w:rPr>
        <w:t>第二十七條　　送達</w:t>
      </w:r>
    </w:p>
    <w:p w:rsidR="00DE4AA2" w:rsidRDefault="00BE40B7">
      <w:pPr>
        <w:pStyle w:val="ab"/>
        <w:numPr>
          <w:ilvl w:val="0"/>
          <w:numId w:val="45"/>
        </w:numPr>
        <w:wordWrap w:val="0"/>
        <w:spacing w:line="320" w:lineRule="exact"/>
        <w:ind w:left="2268" w:hanging="567"/>
        <w:rPr>
          <w:rFonts w:ascii="標楷體" w:eastAsia="標楷體" w:hAnsi="標楷體"/>
          <w:szCs w:val="24"/>
        </w:rPr>
      </w:pPr>
      <w:r>
        <w:rPr>
          <w:rFonts w:ascii="標楷體" w:eastAsia="標楷體" w:hAnsi="標楷體"/>
          <w:szCs w:val="24"/>
        </w:rPr>
        <w:t>除本契約另有約定外，應送達本契約當事人之通知、文件或資料，均應以中文書面為之，並於送達對方時生效。除於事前取得他方同意變更地址者外，雙方之地址應以下列為準：</w:t>
      </w:r>
    </w:p>
    <w:p w:rsidR="00DE4AA2" w:rsidRDefault="00BE40B7">
      <w:pPr>
        <w:pStyle w:val="ab"/>
        <w:numPr>
          <w:ilvl w:val="0"/>
          <w:numId w:val="46"/>
        </w:numPr>
        <w:wordWrap w:val="0"/>
        <w:spacing w:line="320" w:lineRule="exact"/>
        <w:ind w:left="2552" w:hanging="284"/>
      </w:pPr>
      <w:r>
        <w:rPr>
          <w:rFonts w:ascii="標楷體" w:eastAsia="標楷體" w:hAnsi="標楷體"/>
          <w:szCs w:val="24"/>
        </w:rPr>
        <w:t>甲方地址：</w:t>
      </w:r>
      <w:r>
        <w:rPr>
          <w:rFonts w:ascii="標楷體" w:eastAsia="標楷體" w:hAnsi="標楷體"/>
          <w:szCs w:val="24"/>
          <w:u w:val="single"/>
        </w:rPr>
        <w:t>臺北市</w:t>
      </w:r>
      <w:r w:rsidR="00031D1A">
        <w:rPr>
          <w:rFonts w:ascii="標楷體" w:eastAsia="標楷體" w:hAnsi="標楷體"/>
          <w:szCs w:val="24"/>
          <w:u w:val="single"/>
        </w:rPr>
        <w:t>中山區吉林路15號</w:t>
      </w:r>
      <w:r>
        <w:rPr>
          <w:rFonts w:ascii="標楷體" w:eastAsia="標楷體" w:hAnsi="標楷體"/>
          <w:szCs w:val="24"/>
        </w:rPr>
        <w:t>＿。</w:t>
      </w:r>
    </w:p>
    <w:p w:rsidR="00DE4AA2" w:rsidRDefault="00BE40B7">
      <w:pPr>
        <w:pStyle w:val="ab"/>
        <w:numPr>
          <w:ilvl w:val="0"/>
          <w:numId w:val="46"/>
        </w:numPr>
        <w:wordWrap w:val="0"/>
        <w:spacing w:line="320" w:lineRule="exact"/>
        <w:ind w:left="2552" w:hanging="284"/>
      </w:pPr>
      <w:r>
        <w:rPr>
          <w:rFonts w:ascii="標楷體" w:eastAsia="標楷體" w:hAnsi="標楷體"/>
          <w:szCs w:val="24"/>
        </w:rPr>
        <w:t>乙方地址：</w:t>
      </w:r>
      <w:r>
        <w:rPr>
          <w:rFonts w:ascii="標楷體" w:eastAsia="標楷體" w:hAnsi="標楷體"/>
          <w:u w:val="single"/>
          <w:shd w:val="clear" w:color="auto" w:fill="FFFF00"/>
        </w:rPr>
        <w:t>○○○○○○○○○○○</w:t>
      </w:r>
      <w:r>
        <w:rPr>
          <w:rFonts w:ascii="標楷體" w:eastAsia="標楷體" w:hAnsi="標楷體"/>
          <w:szCs w:val="24"/>
          <w:shd w:val="clear" w:color="auto" w:fill="FFFF00"/>
        </w:rPr>
        <w:t>＿</w:t>
      </w:r>
      <w:r>
        <w:rPr>
          <w:rFonts w:ascii="標楷體" w:eastAsia="標楷體" w:hAnsi="標楷體"/>
          <w:szCs w:val="24"/>
        </w:rPr>
        <w:t>。</w:t>
      </w:r>
    </w:p>
    <w:p w:rsidR="00DE4AA2" w:rsidRDefault="00BE40B7">
      <w:pPr>
        <w:pStyle w:val="ab"/>
        <w:numPr>
          <w:ilvl w:val="0"/>
          <w:numId w:val="45"/>
        </w:numPr>
        <w:wordWrap w:val="0"/>
        <w:spacing w:line="320" w:lineRule="exact"/>
        <w:ind w:left="2268" w:hanging="567"/>
        <w:rPr>
          <w:rFonts w:ascii="標楷體" w:eastAsia="標楷體" w:hAnsi="標楷體"/>
          <w:szCs w:val="24"/>
        </w:rPr>
      </w:pPr>
      <w:r>
        <w:rPr>
          <w:rFonts w:ascii="標楷體" w:eastAsia="標楷體" w:hAnsi="標楷體"/>
          <w:szCs w:val="24"/>
        </w:rPr>
        <w:t>當事人之任一方未依前款規定辦理地址變更，他方按原址，並依當時法律規定之任何一種送達方式辦理時，視為業已送達對方。</w:t>
      </w:r>
    </w:p>
    <w:p w:rsidR="00DE4AA2" w:rsidRDefault="00BE40B7">
      <w:pPr>
        <w:pStyle w:val="ab"/>
        <w:numPr>
          <w:ilvl w:val="0"/>
          <w:numId w:val="45"/>
        </w:numPr>
        <w:wordWrap w:val="0"/>
        <w:spacing w:line="320" w:lineRule="exact"/>
        <w:ind w:left="2268" w:hanging="567"/>
        <w:rPr>
          <w:rFonts w:ascii="標楷體" w:eastAsia="標楷體" w:hAnsi="標楷體"/>
          <w:szCs w:val="24"/>
        </w:rPr>
      </w:pPr>
      <w:r>
        <w:rPr>
          <w:rFonts w:ascii="標楷體" w:eastAsia="標楷體" w:hAnsi="標楷體"/>
          <w:szCs w:val="24"/>
        </w:rPr>
        <w:t>前款按址寄送，其送達日以掛號函件執據、快遞執據或收執聯所載之交寄日期，視為送達。</w:t>
      </w:r>
    </w:p>
    <w:p w:rsidR="00DE4AA2" w:rsidRDefault="00BE40B7">
      <w:pPr>
        <w:pStyle w:val="ab"/>
        <w:wordWrap w:val="0"/>
        <w:spacing w:line="320" w:lineRule="exact"/>
        <w:ind w:left="1680" w:hanging="1680"/>
        <w:rPr>
          <w:rFonts w:ascii="標楷體" w:eastAsia="標楷體" w:hAnsi="標楷體"/>
          <w:szCs w:val="24"/>
        </w:rPr>
      </w:pPr>
      <w:r>
        <w:rPr>
          <w:rFonts w:ascii="標楷體" w:eastAsia="標楷體" w:hAnsi="標楷體"/>
          <w:szCs w:val="24"/>
        </w:rPr>
        <w:t>第二十八條　　契約之解釋及管轄法院</w:t>
      </w:r>
    </w:p>
    <w:p w:rsidR="00DE4AA2" w:rsidRDefault="00BE40B7">
      <w:pPr>
        <w:pStyle w:val="ab"/>
        <w:numPr>
          <w:ilvl w:val="0"/>
          <w:numId w:val="47"/>
        </w:numPr>
        <w:wordWrap w:val="0"/>
        <w:spacing w:line="320" w:lineRule="exact"/>
        <w:ind w:left="2268" w:hanging="567"/>
        <w:rPr>
          <w:rFonts w:ascii="標楷體" w:eastAsia="標楷體" w:hAnsi="標楷體"/>
          <w:szCs w:val="24"/>
        </w:rPr>
      </w:pPr>
      <w:r>
        <w:rPr>
          <w:rFonts w:ascii="標楷體" w:eastAsia="標楷體" w:hAnsi="標楷體"/>
          <w:szCs w:val="24"/>
        </w:rPr>
        <w:t>本契約雙方應依誠信原則確實履行，如有涉訟，應視事件性質，以臺灣臺北地方法院行政訴訟庭或臺北高等行政法院為第一審管轄法院。</w:t>
      </w:r>
    </w:p>
    <w:p w:rsidR="00DE4AA2" w:rsidRDefault="00BE40B7">
      <w:pPr>
        <w:pStyle w:val="ab"/>
        <w:numPr>
          <w:ilvl w:val="0"/>
          <w:numId w:val="47"/>
        </w:numPr>
        <w:wordWrap w:val="0"/>
        <w:spacing w:line="320" w:lineRule="exact"/>
        <w:ind w:left="2268" w:hanging="567"/>
        <w:rPr>
          <w:rFonts w:ascii="標楷體" w:eastAsia="標楷體" w:hAnsi="標楷體"/>
          <w:szCs w:val="24"/>
        </w:rPr>
      </w:pPr>
      <w:r>
        <w:rPr>
          <w:rFonts w:ascii="標楷體" w:eastAsia="標楷體" w:hAnsi="標楷體"/>
          <w:szCs w:val="24"/>
        </w:rPr>
        <w:t>前款約定於本契約之連帶保證人亦有適用。</w:t>
      </w:r>
    </w:p>
    <w:p w:rsidR="00DE4AA2" w:rsidRDefault="00BE40B7">
      <w:pPr>
        <w:pStyle w:val="ab"/>
        <w:wordWrap w:val="0"/>
        <w:spacing w:line="320" w:lineRule="exact"/>
        <w:ind w:left="1680" w:hanging="1680"/>
        <w:rPr>
          <w:rFonts w:ascii="標楷體" w:eastAsia="標楷體" w:hAnsi="標楷體"/>
          <w:szCs w:val="24"/>
        </w:rPr>
      </w:pPr>
      <w:r>
        <w:rPr>
          <w:rFonts w:ascii="標楷體" w:eastAsia="標楷體" w:hAnsi="標楷體"/>
          <w:szCs w:val="24"/>
        </w:rPr>
        <w:t>第二十九條 　 執行</w:t>
      </w:r>
    </w:p>
    <w:p w:rsidR="00DE4AA2" w:rsidRDefault="00BE40B7">
      <w:pPr>
        <w:pStyle w:val="ab"/>
        <w:wordWrap w:val="0"/>
        <w:spacing w:line="320" w:lineRule="exact"/>
        <w:ind w:left="1560"/>
        <w:rPr>
          <w:rFonts w:ascii="標楷體" w:eastAsia="標楷體" w:hAnsi="標楷體"/>
          <w:szCs w:val="24"/>
        </w:rPr>
      </w:pPr>
      <w:r>
        <w:rPr>
          <w:rFonts w:ascii="標楷體" w:eastAsia="標楷體" w:hAnsi="標楷體"/>
          <w:szCs w:val="24"/>
        </w:rPr>
        <w:t>乙方依本契約所負擔之義務不履行時，同意接受甲方依行政程序法第一百四十八條規定，以本契約為強制執行名義逕為執行。</w:t>
      </w:r>
    </w:p>
    <w:p w:rsidR="00DE4AA2" w:rsidRDefault="00BE40B7">
      <w:pPr>
        <w:pStyle w:val="ab"/>
        <w:wordWrap w:val="0"/>
        <w:spacing w:line="320" w:lineRule="exact"/>
        <w:ind w:left="1680" w:hanging="1680"/>
        <w:rPr>
          <w:rFonts w:ascii="標楷體" w:eastAsia="標楷體" w:hAnsi="標楷體"/>
          <w:szCs w:val="24"/>
        </w:rPr>
      </w:pPr>
      <w:r>
        <w:rPr>
          <w:rFonts w:ascii="標楷體" w:eastAsia="標楷體" w:hAnsi="標楷體"/>
          <w:szCs w:val="24"/>
        </w:rPr>
        <w:t>第三十條　　 其他法令之適用與準用</w:t>
      </w:r>
    </w:p>
    <w:p w:rsidR="00DE4AA2" w:rsidRDefault="00BE40B7">
      <w:pPr>
        <w:pStyle w:val="ab"/>
        <w:wordWrap w:val="0"/>
        <w:spacing w:line="320" w:lineRule="exact"/>
        <w:ind w:left="1560"/>
        <w:rPr>
          <w:rFonts w:ascii="標楷體" w:eastAsia="標楷體" w:hAnsi="標楷體"/>
          <w:szCs w:val="24"/>
        </w:rPr>
      </w:pPr>
      <w:r>
        <w:rPr>
          <w:rFonts w:ascii="標楷體" w:eastAsia="標楷體" w:hAnsi="標楷體"/>
          <w:szCs w:val="24"/>
        </w:rPr>
        <w:t>本契約如有未盡事宜，適用行政程序法等有關法令之規定，並準用民法相關規定。契約內容如生疑義，由甲方依公平合理原則解釋之。</w:t>
      </w:r>
    </w:p>
    <w:p w:rsidR="00DE4AA2" w:rsidRDefault="00BE40B7">
      <w:pPr>
        <w:pStyle w:val="ab"/>
        <w:wordWrap w:val="0"/>
        <w:spacing w:line="320" w:lineRule="exact"/>
        <w:ind w:left="1680" w:hanging="1680"/>
        <w:rPr>
          <w:rFonts w:ascii="標楷體" w:eastAsia="標楷體" w:hAnsi="標楷體"/>
          <w:szCs w:val="24"/>
        </w:rPr>
      </w:pPr>
      <w:r>
        <w:rPr>
          <w:rFonts w:ascii="標楷體" w:eastAsia="標楷體" w:hAnsi="標楷體"/>
          <w:szCs w:val="24"/>
        </w:rPr>
        <w:t>第三十一條　  契約修訂</w:t>
      </w:r>
    </w:p>
    <w:p w:rsidR="00DE4AA2" w:rsidRDefault="00BE40B7">
      <w:pPr>
        <w:pStyle w:val="ab"/>
        <w:wordWrap w:val="0"/>
        <w:spacing w:line="320" w:lineRule="exact"/>
        <w:ind w:left="1080" w:firstLine="480"/>
        <w:rPr>
          <w:rFonts w:ascii="標楷體" w:eastAsia="標楷體" w:hAnsi="標楷體"/>
          <w:szCs w:val="24"/>
        </w:rPr>
      </w:pPr>
      <w:r>
        <w:rPr>
          <w:rFonts w:ascii="標楷體" w:eastAsia="標楷體" w:hAnsi="標楷體"/>
          <w:szCs w:val="24"/>
        </w:rPr>
        <w:t>本契約得經雙方同意後，以書面修正或補充之。</w:t>
      </w:r>
    </w:p>
    <w:p w:rsidR="00DE4AA2" w:rsidRDefault="00BE40B7">
      <w:pPr>
        <w:pStyle w:val="ab"/>
        <w:wordWrap w:val="0"/>
        <w:spacing w:line="320" w:lineRule="exact"/>
        <w:ind w:left="1680" w:hanging="1680"/>
        <w:rPr>
          <w:rFonts w:ascii="標楷體" w:eastAsia="標楷體" w:hAnsi="標楷體"/>
          <w:szCs w:val="24"/>
        </w:rPr>
      </w:pPr>
      <w:r>
        <w:rPr>
          <w:rFonts w:ascii="標楷體" w:eastAsia="標楷體" w:hAnsi="標楷體"/>
          <w:szCs w:val="24"/>
        </w:rPr>
        <w:t>第三十二條　　契約附件</w:t>
      </w:r>
    </w:p>
    <w:p w:rsidR="00DE4AA2" w:rsidRDefault="00BE40B7">
      <w:pPr>
        <w:pStyle w:val="ab"/>
        <w:numPr>
          <w:ilvl w:val="0"/>
          <w:numId w:val="48"/>
        </w:numPr>
        <w:wordWrap w:val="0"/>
        <w:spacing w:line="320" w:lineRule="exact"/>
        <w:ind w:left="2268" w:hanging="567"/>
        <w:rPr>
          <w:rFonts w:ascii="標楷體" w:eastAsia="標楷體" w:hAnsi="標楷體"/>
          <w:szCs w:val="24"/>
        </w:rPr>
      </w:pPr>
      <w:r>
        <w:rPr>
          <w:rFonts w:ascii="標楷體" w:eastAsia="標楷體" w:hAnsi="標楷體"/>
          <w:szCs w:val="24"/>
        </w:rPr>
        <w:t>本契約附件包含定期存款單質權設定申請書格式、施工及維護期間注意及配合事項。</w:t>
      </w:r>
    </w:p>
    <w:p w:rsidR="00DE4AA2" w:rsidRDefault="00BE40B7">
      <w:pPr>
        <w:pStyle w:val="ab"/>
        <w:numPr>
          <w:ilvl w:val="0"/>
          <w:numId w:val="48"/>
        </w:numPr>
        <w:wordWrap w:val="0"/>
        <w:spacing w:line="320" w:lineRule="exact"/>
        <w:ind w:left="2268" w:hanging="567"/>
        <w:rPr>
          <w:rFonts w:ascii="標楷體" w:eastAsia="標楷體" w:hAnsi="標楷體"/>
          <w:szCs w:val="24"/>
        </w:rPr>
      </w:pPr>
      <w:r>
        <w:rPr>
          <w:rFonts w:ascii="標楷體" w:eastAsia="標楷體" w:hAnsi="標楷體"/>
          <w:szCs w:val="24"/>
        </w:rPr>
        <w:t>「111年臺北市市有公用房地提供設置太陽光電公民電廠招標案」投標須知、評選須知、需求說明書及乙方設置使用計畫書均為契約之一部分，各文件內容不一致時以本款所列之各文件名稱順序為效力優先順序。</w:t>
      </w:r>
    </w:p>
    <w:p w:rsidR="00DE4AA2" w:rsidRDefault="00BE40B7">
      <w:pPr>
        <w:pStyle w:val="ab"/>
        <w:numPr>
          <w:ilvl w:val="0"/>
          <w:numId w:val="48"/>
        </w:numPr>
        <w:wordWrap w:val="0"/>
        <w:spacing w:line="320" w:lineRule="exact"/>
        <w:ind w:left="2268" w:hanging="567"/>
        <w:rPr>
          <w:rFonts w:ascii="標楷體" w:eastAsia="標楷體" w:hAnsi="標楷體"/>
          <w:szCs w:val="24"/>
        </w:rPr>
      </w:pPr>
      <w:r>
        <w:rPr>
          <w:rFonts w:ascii="標楷體" w:eastAsia="標楷體" w:hAnsi="標楷體"/>
          <w:szCs w:val="24"/>
        </w:rPr>
        <w:t>前二款附件與本契約具有同等效力，其與本契約牴觸者，以契約條文約定為準。</w:t>
      </w:r>
    </w:p>
    <w:p w:rsidR="00DE4AA2" w:rsidRDefault="00BE40B7">
      <w:pPr>
        <w:pStyle w:val="ab"/>
        <w:wordWrap w:val="0"/>
        <w:spacing w:line="320" w:lineRule="exact"/>
        <w:ind w:left="1680" w:hanging="1680"/>
        <w:rPr>
          <w:rFonts w:ascii="標楷體" w:eastAsia="標楷體" w:hAnsi="標楷體"/>
          <w:szCs w:val="24"/>
        </w:rPr>
      </w:pPr>
      <w:r>
        <w:rPr>
          <w:rFonts w:ascii="標楷體" w:eastAsia="標楷體" w:hAnsi="標楷體"/>
          <w:szCs w:val="24"/>
        </w:rPr>
        <w:lastRenderedPageBreak/>
        <w:t>第三十三條　　契約份數</w:t>
      </w:r>
    </w:p>
    <w:p w:rsidR="00DE4AA2" w:rsidRDefault="00BE40B7">
      <w:pPr>
        <w:pStyle w:val="ab"/>
        <w:wordWrap w:val="0"/>
        <w:spacing w:line="320" w:lineRule="exact"/>
        <w:ind w:left="2006" w:hanging="357"/>
      </w:pPr>
      <w:r>
        <w:rPr>
          <w:rFonts w:ascii="標楷體" w:eastAsia="標楷體" w:hAnsi="標楷體"/>
          <w:szCs w:val="24"/>
        </w:rPr>
        <w:t>本契約一式</w:t>
      </w:r>
      <w:r>
        <w:rPr>
          <w:rFonts w:ascii="標楷體" w:eastAsia="標楷體" w:hAnsi="標楷體"/>
          <w:szCs w:val="24"/>
          <w:u w:val="single"/>
        </w:rPr>
        <w:t>5</w:t>
      </w:r>
      <w:r>
        <w:rPr>
          <w:rFonts w:ascii="標楷體" w:eastAsia="標楷體" w:hAnsi="標楷體"/>
          <w:szCs w:val="24"/>
        </w:rPr>
        <w:t>份，正本</w:t>
      </w:r>
      <w:r>
        <w:rPr>
          <w:rFonts w:ascii="標楷體" w:eastAsia="標楷體" w:hAnsi="標楷體"/>
          <w:szCs w:val="24"/>
          <w:u w:val="single"/>
        </w:rPr>
        <w:t>2</w:t>
      </w:r>
      <w:r>
        <w:rPr>
          <w:rFonts w:ascii="標楷體" w:eastAsia="標楷體" w:hAnsi="標楷體"/>
          <w:szCs w:val="24"/>
        </w:rPr>
        <w:t>份、副本</w:t>
      </w:r>
      <w:r>
        <w:rPr>
          <w:rFonts w:ascii="標楷體" w:eastAsia="標楷體" w:hAnsi="標楷體"/>
          <w:szCs w:val="24"/>
          <w:u w:val="single"/>
        </w:rPr>
        <w:t>3</w:t>
      </w:r>
      <w:r>
        <w:rPr>
          <w:rFonts w:ascii="標楷體" w:eastAsia="標楷體" w:hAnsi="標楷體"/>
          <w:szCs w:val="24"/>
        </w:rPr>
        <w:t>份，經雙方當事人簽章後生效，正本由甲、乙方各執乙份，副本由甲方保管。</w:t>
      </w:r>
    </w:p>
    <w:p w:rsidR="00DE4AA2" w:rsidRDefault="00BE40B7">
      <w:pPr>
        <w:wordWrap w:val="0"/>
        <w:rPr>
          <w:rFonts w:ascii="標楷體" w:eastAsia="標楷體" w:hAnsi="標楷體"/>
          <w:szCs w:val="24"/>
        </w:rPr>
      </w:pPr>
      <w:r>
        <w:rPr>
          <w:rFonts w:ascii="標楷體" w:eastAsia="標楷體" w:hAnsi="標楷體"/>
          <w:szCs w:val="24"/>
        </w:rPr>
        <w:t>第三十四條　　其他</w:t>
      </w:r>
    </w:p>
    <w:p w:rsidR="00DE4AA2" w:rsidRDefault="00BE40B7">
      <w:pPr>
        <w:pStyle w:val="ab"/>
        <w:numPr>
          <w:ilvl w:val="0"/>
          <w:numId w:val="49"/>
        </w:numPr>
        <w:wordWrap w:val="0"/>
        <w:spacing w:line="320" w:lineRule="exact"/>
        <w:ind w:left="2268" w:hanging="567"/>
        <w:rPr>
          <w:rFonts w:ascii="標楷體" w:eastAsia="標楷體" w:hAnsi="標楷體"/>
          <w:szCs w:val="24"/>
        </w:rPr>
      </w:pPr>
      <w:r>
        <w:rPr>
          <w:rFonts w:ascii="標楷體" w:eastAsia="標楷體" w:hAnsi="標楷體"/>
          <w:szCs w:val="24"/>
        </w:rPr>
        <w:t>乙方需裝設用電管理系統並應負責建立監控展示網頁（使用者可透過通用之瀏覽器上網使用，如IE、Chrome、Firefox等），乙方可洽管理機關協助提供1組固定IP供監控系統使用，倘管理機關因故未能提供固定IP，應由乙方自行負責建置，網頁內容須包含太陽光電發電設備發電資訊（包含本年度及之前全部年度），並得顯示管理機關總用電資訊（包含伏特、安培、用電瓦數、用電度數、頻率、功率因素等），提供查詢各項歷史紀錄、及時日報、月報、年報等資料，提供網址予管理機關及甲方推廣使用。</w:t>
      </w:r>
    </w:p>
    <w:p w:rsidR="00DE4AA2" w:rsidRDefault="00BE40B7">
      <w:pPr>
        <w:pStyle w:val="ab"/>
        <w:numPr>
          <w:ilvl w:val="0"/>
          <w:numId w:val="49"/>
        </w:numPr>
        <w:wordWrap w:val="0"/>
        <w:spacing w:line="320" w:lineRule="exact"/>
        <w:ind w:left="2268" w:hanging="567"/>
        <w:rPr>
          <w:rFonts w:ascii="標楷體" w:eastAsia="標楷體" w:hAnsi="標楷體"/>
          <w:szCs w:val="24"/>
        </w:rPr>
      </w:pPr>
      <w:r>
        <w:rPr>
          <w:rFonts w:ascii="標楷體" w:eastAsia="標楷體" w:hAnsi="標楷體"/>
          <w:szCs w:val="24"/>
        </w:rPr>
        <w:t>乙方若有本契約規定以外之承諾事項、服務或設施提供予管理機關，應經乙方及管理機關雙方同意並作成書面紀錄，由乙方函送甲方備查並副知管理機關，該書面紀錄不列為契約附件。</w:t>
      </w:r>
    </w:p>
    <w:p w:rsidR="00DE4AA2" w:rsidRDefault="00BE40B7">
      <w:pPr>
        <w:pStyle w:val="ab"/>
        <w:numPr>
          <w:ilvl w:val="0"/>
          <w:numId w:val="49"/>
        </w:numPr>
        <w:wordWrap w:val="0"/>
        <w:spacing w:line="320" w:lineRule="exact"/>
        <w:ind w:left="2268" w:hanging="567"/>
        <w:rPr>
          <w:rFonts w:ascii="標楷體" w:eastAsia="標楷體" w:hAnsi="標楷體"/>
          <w:szCs w:val="24"/>
        </w:rPr>
      </w:pPr>
      <w:r>
        <w:rPr>
          <w:rFonts w:ascii="標楷體" w:eastAsia="標楷體" w:hAnsi="標楷體"/>
          <w:szCs w:val="24"/>
        </w:rPr>
        <w:t>乙方應視甲方需要，協助辦理簽約及啟用活動等推廣活動。</w:t>
      </w:r>
    </w:p>
    <w:p w:rsidR="00DE4AA2" w:rsidRDefault="00BE40B7">
      <w:pPr>
        <w:pStyle w:val="ab"/>
        <w:numPr>
          <w:ilvl w:val="0"/>
          <w:numId w:val="49"/>
        </w:numPr>
        <w:wordWrap w:val="0"/>
        <w:spacing w:line="320" w:lineRule="exact"/>
        <w:ind w:left="2268" w:hanging="567"/>
        <w:rPr>
          <w:rFonts w:ascii="標楷體" w:eastAsia="標楷體" w:hAnsi="標楷體"/>
          <w:szCs w:val="24"/>
        </w:rPr>
      </w:pPr>
      <w:r>
        <w:rPr>
          <w:rFonts w:ascii="標楷體" w:eastAsia="標楷體" w:hAnsi="標楷體"/>
          <w:szCs w:val="24"/>
        </w:rPr>
        <w:t>依管理機關需求，協助提報公用房地修繕計畫，以符合使用太陽光電設備作為房屋修繕相關規定。</w:t>
      </w:r>
    </w:p>
    <w:p w:rsidR="00DE4AA2" w:rsidRDefault="00BE40B7">
      <w:pPr>
        <w:pStyle w:val="ab"/>
        <w:numPr>
          <w:ilvl w:val="0"/>
          <w:numId w:val="49"/>
        </w:numPr>
        <w:wordWrap w:val="0"/>
        <w:spacing w:line="320" w:lineRule="exact"/>
        <w:ind w:left="2268" w:hanging="567"/>
        <w:rPr>
          <w:rFonts w:ascii="標楷體" w:eastAsia="標楷體" w:hAnsi="標楷體"/>
          <w:szCs w:val="24"/>
        </w:rPr>
      </w:pPr>
      <w:r>
        <w:rPr>
          <w:rFonts w:ascii="標楷體" w:eastAsia="標楷體" w:hAnsi="標楷體"/>
          <w:szCs w:val="24"/>
        </w:rPr>
        <w:t>為確保品質及最佳鋪設面積之規劃，乙方應於施工前提報共通性材料、施工規範、施工計畫及標準圖說送甲方審核，於甲方核定後，始得設置。</w:t>
      </w:r>
    </w:p>
    <w:p w:rsidR="00DE4AA2" w:rsidRDefault="00BE40B7">
      <w:pPr>
        <w:pStyle w:val="ab"/>
        <w:numPr>
          <w:ilvl w:val="0"/>
          <w:numId w:val="49"/>
        </w:numPr>
        <w:wordWrap w:val="0"/>
        <w:spacing w:line="320" w:lineRule="exact"/>
        <w:ind w:left="2268" w:hanging="567"/>
        <w:rPr>
          <w:rFonts w:ascii="標楷體" w:eastAsia="標楷體" w:hAnsi="標楷體"/>
          <w:szCs w:val="24"/>
        </w:rPr>
      </w:pPr>
      <w:r>
        <w:rPr>
          <w:rFonts w:ascii="標楷體" w:eastAsia="標楷體" w:hAnsi="標楷體"/>
          <w:szCs w:val="24"/>
        </w:rPr>
        <w:t>臺北市議會或議員調閱相關文件時，得於遮蔽隱私或營業秘密資訊後提供，不受保密條款限制。</w:t>
      </w:r>
    </w:p>
    <w:p w:rsidR="00DE4AA2" w:rsidRDefault="00DE4AA2">
      <w:pPr>
        <w:pageBreakBefore/>
        <w:wordWrap w:val="0"/>
        <w:ind w:firstLine="480"/>
        <w:rPr>
          <w:rFonts w:ascii="標楷體" w:eastAsia="標楷體" w:hAnsi="標楷體"/>
          <w:szCs w:val="24"/>
        </w:rPr>
      </w:pPr>
    </w:p>
    <w:p w:rsidR="00DE4AA2" w:rsidRDefault="00BE40B7">
      <w:pPr>
        <w:pStyle w:val="ab"/>
        <w:wordWrap w:val="0"/>
        <w:spacing w:line="320" w:lineRule="exact"/>
        <w:ind w:left="240"/>
        <w:rPr>
          <w:rFonts w:ascii="標楷體" w:eastAsia="標楷體" w:hAnsi="標楷體"/>
          <w:szCs w:val="24"/>
        </w:rPr>
      </w:pPr>
      <w:r>
        <w:rPr>
          <w:rFonts w:ascii="標楷體" w:eastAsia="標楷體" w:hAnsi="標楷體"/>
          <w:szCs w:val="24"/>
        </w:rPr>
        <w:t>立契約書人</w:t>
      </w:r>
    </w:p>
    <w:p w:rsidR="00DE4AA2" w:rsidRDefault="00BE40B7">
      <w:pPr>
        <w:pStyle w:val="ab"/>
        <w:wordWrap w:val="0"/>
        <w:spacing w:line="320" w:lineRule="exact"/>
        <w:ind w:left="1320"/>
        <w:rPr>
          <w:rFonts w:ascii="標楷體" w:eastAsia="標楷體" w:hAnsi="標楷體"/>
          <w:szCs w:val="24"/>
        </w:rPr>
      </w:pPr>
      <w:r>
        <w:rPr>
          <w:rFonts w:ascii="標楷體" w:eastAsia="標楷體" w:hAnsi="標楷體"/>
          <w:szCs w:val="24"/>
        </w:rPr>
        <w:t xml:space="preserve">甲方： </w:t>
      </w:r>
    </w:p>
    <w:p w:rsidR="00DE4AA2" w:rsidRDefault="00BE40B7">
      <w:pPr>
        <w:pStyle w:val="ab"/>
        <w:wordWrap w:val="0"/>
        <w:spacing w:line="320" w:lineRule="exact"/>
        <w:ind w:left="1320"/>
      </w:pPr>
      <w:r>
        <w:rPr>
          <w:rFonts w:ascii="標楷體" w:eastAsia="標楷體" w:hAnsi="標楷體"/>
          <w:szCs w:val="24"/>
        </w:rPr>
        <w:t>代表人：</w:t>
      </w:r>
      <w:r>
        <w:t xml:space="preserve"> </w:t>
      </w:r>
    </w:p>
    <w:p w:rsidR="00DE4AA2" w:rsidRDefault="00BE40B7">
      <w:pPr>
        <w:pStyle w:val="ab"/>
        <w:wordWrap w:val="0"/>
        <w:spacing w:line="320" w:lineRule="exact"/>
        <w:ind w:left="1320"/>
        <w:rPr>
          <w:rFonts w:ascii="標楷體" w:eastAsia="標楷體" w:hAnsi="標楷體"/>
          <w:szCs w:val="24"/>
        </w:rPr>
      </w:pPr>
      <w:r>
        <w:rPr>
          <w:rFonts w:ascii="標楷體" w:eastAsia="標楷體" w:hAnsi="標楷體"/>
          <w:szCs w:val="24"/>
        </w:rPr>
        <w:t>地　址：</w:t>
      </w:r>
    </w:p>
    <w:p w:rsidR="00DE4AA2" w:rsidRDefault="00BE40B7">
      <w:pPr>
        <w:pStyle w:val="ab"/>
        <w:wordWrap w:val="0"/>
        <w:spacing w:line="320" w:lineRule="exact"/>
        <w:ind w:left="1320"/>
        <w:rPr>
          <w:rFonts w:ascii="標楷體" w:eastAsia="標楷體" w:hAnsi="標楷體"/>
          <w:szCs w:val="24"/>
        </w:rPr>
      </w:pPr>
      <w:r>
        <w:rPr>
          <w:rFonts w:ascii="標楷體" w:eastAsia="標楷體" w:hAnsi="標楷體"/>
          <w:szCs w:val="24"/>
        </w:rPr>
        <w:t>電　話：</w:t>
      </w:r>
    </w:p>
    <w:p w:rsidR="00DE4AA2" w:rsidRDefault="00DE4AA2">
      <w:pPr>
        <w:pStyle w:val="ab"/>
        <w:wordWrap w:val="0"/>
        <w:spacing w:line="320" w:lineRule="exact"/>
        <w:ind w:left="1320"/>
        <w:rPr>
          <w:rFonts w:ascii="標楷體" w:eastAsia="標楷體" w:hAnsi="標楷體"/>
          <w:szCs w:val="24"/>
        </w:rPr>
      </w:pPr>
    </w:p>
    <w:p w:rsidR="00DE4AA2" w:rsidRDefault="00BE40B7">
      <w:pPr>
        <w:pStyle w:val="ab"/>
        <w:wordWrap w:val="0"/>
        <w:spacing w:line="320" w:lineRule="exact"/>
        <w:ind w:left="1320"/>
        <w:rPr>
          <w:rFonts w:ascii="標楷體" w:eastAsia="標楷體" w:hAnsi="標楷體"/>
          <w:szCs w:val="24"/>
        </w:rPr>
      </w:pPr>
      <w:r>
        <w:rPr>
          <w:rFonts w:ascii="標楷體" w:eastAsia="標楷體" w:hAnsi="標楷體"/>
          <w:szCs w:val="24"/>
        </w:rPr>
        <w:t>乙　方：</w:t>
      </w:r>
    </w:p>
    <w:p w:rsidR="00DE4AA2" w:rsidRDefault="00BE40B7">
      <w:pPr>
        <w:pStyle w:val="ab"/>
        <w:wordWrap w:val="0"/>
        <w:spacing w:line="320" w:lineRule="exact"/>
        <w:ind w:left="1320"/>
        <w:rPr>
          <w:rFonts w:ascii="標楷體" w:eastAsia="標楷體" w:hAnsi="標楷體"/>
          <w:szCs w:val="24"/>
        </w:rPr>
      </w:pPr>
      <w:r>
        <w:rPr>
          <w:rFonts w:ascii="標楷體" w:eastAsia="標楷體" w:hAnsi="標楷體"/>
          <w:szCs w:val="24"/>
        </w:rPr>
        <w:t>身分證字號／統一編號：</w:t>
      </w:r>
    </w:p>
    <w:p w:rsidR="00DE4AA2" w:rsidRDefault="00BE40B7">
      <w:pPr>
        <w:pStyle w:val="ab"/>
        <w:wordWrap w:val="0"/>
        <w:spacing w:line="320" w:lineRule="exact"/>
        <w:ind w:left="1320"/>
        <w:rPr>
          <w:rFonts w:ascii="標楷體" w:eastAsia="標楷體" w:hAnsi="標楷體"/>
          <w:szCs w:val="24"/>
        </w:rPr>
      </w:pPr>
      <w:r>
        <w:rPr>
          <w:rFonts w:ascii="標楷體" w:eastAsia="標楷體" w:hAnsi="標楷體"/>
          <w:szCs w:val="24"/>
        </w:rPr>
        <w:t>代表人：</w:t>
      </w:r>
    </w:p>
    <w:p w:rsidR="00DE4AA2" w:rsidRDefault="00BE40B7">
      <w:pPr>
        <w:pStyle w:val="ab"/>
        <w:wordWrap w:val="0"/>
        <w:spacing w:line="320" w:lineRule="exact"/>
        <w:ind w:left="1320"/>
        <w:rPr>
          <w:rFonts w:ascii="標楷體" w:eastAsia="標楷體" w:hAnsi="標楷體"/>
          <w:szCs w:val="24"/>
        </w:rPr>
      </w:pPr>
      <w:r>
        <w:rPr>
          <w:rFonts w:ascii="標楷體" w:eastAsia="標楷體" w:hAnsi="標楷體"/>
          <w:szCs w:val="24"/>
        </w:rPr>
        <w:t>身分證字號：</w:t>
      </w:r>
    </w:p>
    <w:p w:rsidR="00DE4AA2" w:rsidRDefault="00BE40B7">
      <w:pPr>
        <w:pStyle w:val="ab"/>
        <w:wordWrap w:val="0"/>
        <w:spacing w:line="320" w:lineRule="exact"/>
        <w:ind w:left="1320"/>
        <w:rPr>
          <w:rFonts w:ascii="標楷體" w:eastAsia="標楷體" w:hAnsi="標楷體"/>
          <w:szCs w:val="24"/>
        </w:rPr>
      </w:pPr>
      <w:r>
        <w:rPr>
          <w:rFonts w:ascii="標楷體" w:eastAsia="標楷體" w:hAnsi="標楷體"/>
          <w:szCs w:val="24"/>
        </w:rPr>
        <w:t>地　址：</w:t>
      </w:r>
    </w:p>
    <w:p w:rsidR="00DE4AA2" w:rsidRDefault="00BE40B7">
      <w:pPr>
        <w:pStyle w:val="ab"/>
        <w:wordWrap w:val="0"/>
        <w:spacing w:line="320" w:lineRule="exact"/>
        <w:ind w:left="1320"/>
        <w:rPr>
          <w:rFonts w:ascii="標楷體" w:eastAsia="標楷體" w:hAnsi="標楷體"/>
          <w:szCs w:val="24"/>
        </w:rPr>
      </w:pPr>
      <w:r>
        <w:rPr>
          <w:rFonts w:ascii="標楷體" w:eastAsia="標楷體" w:hAnsi="標楷體"/>
          <w:szCs w:val="24"/>
        </w:rPr>
        <w:t>電　話：</w:t>
      </w:r>
    </w:p>
    <w:p w:rsidR="00DE4AA2" w:rsidRDefault="00DE4AA2">
      <w:pPr>
        <w:pStyle w:val="ab"/>
        <w:wordWrap w:val="0"/>
        <w:spacing w:line="320" w:lineRule="exact"/>
        <w:ind w:left="1320"/>
        <w:rPr>
          <w:rFonts w:ascii="標楷體" w:eastAsia="標楷體" w:hAnsi="標楷體"/>
          <w:szCs w:val="24"/>
        </w:rPr>
      </w:pPr>
    </w:p>
    <w:p w:rsidR="00DE4AA2" w:rsidRDefault="00BE40B7">
      <w:pPr>
        <w:pStyle w:val="ab"/>
        <w:wordWrap w:val="0"/>
        <w:spacing w:line="320" w:lineRule="exact"/>
        <w:ind w:left="1320"/>
        <w:rPr>
          <w:rFonts w:ascii="標楷體" w:eastAsia="標楷體" w:hAnsi="標楷體"/>
          <w:szCs w:val="24"/>
        </w:rPr>
      </w:pPr>
      <w:r>
        <w:rPr>
          <w:rFonts w:ascii="標楷體" w:eastAsia="標楷體" w:hAnsi="標楷體"/>
          <w:szCs w:val="24"/>
        </w:rPr>
        <w:t>連帶保證人：</w:t>
      </w:r>
    </w:p>
    <w:p w:rsidR="00DE4AA2" w:rsidRDefault="00BE40B7">
      <w:pPr>
        <w:pStyle w:val="ab"/>
        <w:wordWrap w:val="0"/>
        <w:spacing w:line="320" w:lineRule="exact"/>
        <w:ind w:left="1320"/>
        <w:rPr>
          <w:rFonts w:ascii="標楷體" w:eastAsia="標楷體" w:hAnsi="標楷體"/>
          <w:szCs w:val="24"/>
        </w:rPr>
      </w:pPr>
      <w:r>
        <w:rPr>
          <w:rFonts w:ascii="標楷體" w:eastAsia="標楷體" w:hAnsi="標楷體"/>
          <w:szCs w:val="24"/>
        </w:rPr>
        <w:t>身分證字號／統一編號：</w:t>
      </w:r>
    </w:p>
    <w:p w:rsidR="00DE4AA2" w:rsidRDefault="00BE40B7">
      <w:pPr>
        <w:pStyle w:val="ab"/>
        <w:wordWrap w:val="0"/>
        <w:spacing w:line="320" w:lineRule="exact"/>
        <w:ind w:left="1320"/>
        <w:rPr>
          <w:rFonts w:ascii="標楷體" w:eastAsia="標楷體" w:hAnsi="標楷體"/>
          <w:szCs w:val="24"/>
        </w:rPr>
      </w:pPr>
      <w:r>
        <w:rPr>
          <w:rFonts w:ascii="標楷體" w:eastAsia="標楷體" w:hAnsi="標楷體"/>
          <w:szCs w:val="24"/>
        </w:rPr>
        <w:t>代表人：</w:t>
      </w:r>
    </w:p>
    <w:p w:rsidR="00DE4AA2" w:rsidRDefault="00BE40B7">
      <w:pPr>
        <w:pStyle w:val="ab"/>
        <w:wordWrap w:val="0"/>
        <w:spacing w:line="320" w:lineRule="exact"/>
        <w:ind w:left="1320"/>
        <w:rPr>
          <w:rFonts w:ascii="標楷體" w:eastAsia="標楷體" w:hAnsi="標楷體"/>
          <w:szCs w:val="24"/>
        </w:rPr>
      </w:pPr>
      <w:r>
        <w:rPr>
          <w:rFonts w:ascii="標楷體" w:eastAsia="標楷體" w:hAnsi="標楷體"/>
          <w:szCs w:val="24"/>
        </w:rPr>
        <w:t>身分證字號：</w:t>
      </w:r>
    </w:p>
    <w:p w:rsidR="00DE4AA2" w:rsidRDefault="00BE40B7">
      <w:pPr>
        <w:pStyle w:val="ab"/>
        <w:wordWrap w:val="0"/>
        <w:spacing w:line="320" w:lineRule="exact"/>
        <w:ind w:left="1320"/>
        <w:rPr>
          <w:rFonts w:ascii="標楷體" w:eastAsia="標楷體" w:hAnsi="標楷體"/>
          <w:szCs w:val="24"/>
        </w:rPr>
      </w:pPr>
      <w:r>
        <w:rPr>
          <w:rFonts w:ascii="標楷體" w:eastAsia="標楷體" w:hAnsi="標楷體"/>
          <w:szCs w:val="24"/>
        </w:rPr>
        <w:t>地　址：</w:t>
      </w:r>
    </w:p>
    <w:p w:rsidR="00DE4AA2" w:rsidRDefault="00BE40B7">
      <w:pPr>
        <w:pStyle w:val="ab"/>
        <w:wordWrap w:val="0"/>
        <w:spacing w:line="320" w:lineRule="exact"/>
        <w:ind w:left="1320"/>
        <w:rPr>
          <w:rFonts w:ascii="標楷體" w:eastAsia="標楷體" w:hAnsi="標楷體"/>
          <w:szCs w:val="24"/>
        </w:rPr>
      </w:pPr>
      <w:r>
        <w:rPr>
          <w:rFonts w:ascii="標楷體" w:eastAsia="標楷體" w:hAnsi="標楷體"/>
          <w:szCs w:val="24"/>
        </w:rPr>
        <w:t>電　話：</w:t>
      </w:r>
    </w:p>
    <w:p w:rsidR="00DE4AA2" w:rsidRDefault="00DE4AA2">
      <w:pPr>
        <w:pStyle w:val="ab"/>
        <w:wordWrap w:val="0"/>
        <w:spacing w:line="320" w:lineRule="exact"/>
        <w:ind w:left="1320"/>
        <w:rPr>
          <w:rFonts w:ascii="標楷體" w:eastAsia="標楷體" w:hAnsi="標楷體"/>
          <w:szCs w:val="24"/>
        </w:rPr>
      </w:pPr>
    </w:p>
    <w:p w:rsidR="00DE4AA2" w:rsidRDefault="00DE4AA2">
      <w:pPr>
        <w:pStyle w:val="ab"/>
        <w:wordWrap w:val="0"/>
        <w:spacing w:line="320" w:lineRule="exact"/>
        <w:ind w:left="1320"/>
        <w:rPr>
          <w:rFonts w:ascii="標楷體" w:eastAsia="標楷體" w:hAnsi="標楷體"/>
          <w:szCs w:val="24"/>
        </w:rPr>
      </w:pPr>
    </w:p>
    <w:p w:rsidR="00DE4AA2" w:rsidRDefault="00BE40B7">
      <w:pPr>
        <w:pStyle w:val="ab"/>
        <w:wordWrap w:val="0"/>
        <w:spacing w:line="320" w:lineRule="exact"/>
        <w:rPr>
          <w:rFonts w:ascii="標楷體" w:eastAsia="標楷體" w:hAnsi="標楷體"/>
          <w:szCs w:val="24"/>
        </w:rPr>
      </w:pPr>
      <w:r>
        <w:rPr>
          <w:rFonts w:ascii="標楷體" w:eastAsia="標楷體" w:hAnsi="標楷體"/>
          <w:szCs w:val="24"/>
        </w:rPr>
        <w:t>核對：</w:t>
      </w:r>
    </w:p>
    <w:p w:rsidR="00DE4AA2" w:rsidRDefault="00DE4AA2">
      <w:pPr>
        <w:pStyle w:val="ab"/>
        <w:wordWrap w:val="0"/>
        <w:spacing w:line="320" w:lineRule="exact"/>
        <w:ind w:left="1320"/>
        <w:rPr>
          <w:rFonts w:ascii="標楷體" w:eastAsia="標楷體" w:hAnsi="標楷體"/>
          <w:szCs w:val="24"/>
        </w:rPr>
      </w:pPr>
    </w:p>
    <w:p w:rsidR="00DE4AA2" w:rsidRDefault="00DE4AA2">
      <w:pPr>
        <w:pStyle w:val="ab"/>
        <w:wordWrap w:val="0"/>
        <w:spacing w:line="320" w:lineRule="exact"/>
        <w:ind w:left="1320"/>
        <w:rPr>
          <w:rFonts w:ascii="標楷體" w:eastAsia="標楷體" w:hAnsi="標楷體"/>
          <w:szCs w:val="24"/>
        </w:rPr>
      </w:pPr>
    </w:p>
    <w:p w:rsidR="00DE4AA2" w:rsidRDefault="00BE40B7" w:rsidP="008A69D2">
      <w:pPr>
        <w:pStyle w:val="ab"/>
        <w:spacing w:line="320" w:lineRule="exact"/>
        <w:ind w:left="240" w:hanging="240"/>
        <w:jc w:val="left"/>
        <w:rPr>
          <w:rFonts w:ascii="標楷體" w:eastAsia="標楷體" w:hAnsi="標楷體"/>
          <w:szCs w:val="24"/>
        </w:rPr>
      </w:pPr>
      <w:r w:rsidRPr="008A69D2">
        <w:rPr>
          <w:rFonts w:ascii="標楷體" w:eastAsia="標楷體" w:hAnsi="標楷體"/>
          <w:spacing w:val="383"/>
          <w:szCs w:val="24"/>
          <w:fitText w:val="8520" w:id="-1519138816"/>
        </w:rPr>
        <w:t xml:space="preserve">中華民國   年   月   </w:t>
      </w:r>
      <w:r w:rsidRPr="008A69D2">
        <w:rPr>
          <w:rFonts w:ascii="標楷體" w:eastAsia="標楷體" w:hAnsi="標楷體"/>
          <w:spacing w:val="16"/>
          <w:szCs w:val="24"/>
          <w:fitText w:val="8520" w:id="-1519138816"/>
        </w:rPr>
        <w:t>日</w:t>
      </w:r>
    </w:p>
    <w:p w:rsidR="00DE4AA2" w:rsidRDefault="00BE40B7">
      <w:pPr>
        <w:pageBreakBefore/>
        <w:wordWrap w:val="0"/>
        <w:snapToGrid w:val="0"/>
      </w:pPr>
      <w:r>
        <w:rPr>
          <w:rFonts w:ascii="標楷體" w:eastAsia="標楷體" w:hAnsi="標楷體" w:cs="DFKaiShu-SB-Estd-BF"/>
          <w:kern w:val="0"/>
          <w:sz w:val="28"/>
          <w:szCs w:val="32"/>
        </w:rPr>
        <w:lastRenderedPageBreak/>
        <w:t>附件一</w:t>
      </w:r>
    </w:p>
    <w:p w:rsidR="00DE4AA2" w:rsidRDefault="00BE40B7">
      <w:pPr>
        <w:wordWrap w:val="0"/>
        <w:snapToGrid w:val="0"/>
        <w:jc w:val="center"/>
        <w:rPr>
          <w:rFonts w:ascii="標楷體" w:eastAsia="標楷體" w:hAnsi="標楷體"/>
          <w:b/>
          <w:sz w:val="28"/>
          <w:szCs w:val="28"/>
        </w:rPr>
      </w:pPr>
      <w:r>
        <w:rPr>
          <w:rFonts w:ascii="標楷體" w:eastAsia="標楷體" w:hAnsi="標楷體"/>
          <w:b/>
          <w:sz w:val="28"/>
          <w:szCs w:val="28"/>
        </w:rPr>
        <w:t>定期存款單質權設定申請書格式</w:t>
      </w:r>
    </w:p>
    <w:p w:rsidR="00DE4AA2" w:rsidRDefault="00BE40B7" w:rsidP="00031D1A">
      <w:pPr>
        <w:numPr>
          <w:ilvl w:val="0"/>
          <w:numId w:val="50"/>
        </w:numPr>
        <w:wordWrap w:val="0"/>
        <w:snapToGrid w:val="0"/>
        <w:jc w:val="both"/>
      </w:pPr>
      <w:r>
        <w:rPr>
          <w:rFonts w:eastAsia="標楷體"/>
          <w:szCs w:val="28"/>
        </w:rPr>
        <w:t>貴行開發後列定期存款存單（以下簡稱存單）業由存款人（出質人）（即使用人）</w:t>
      </w:r>
      <w:r>
        <w:rPr>
          <w:rFonts w:eastAsia="標楷體"/>
          <w:szCs w:val="28"/>
        </w:rPr>
        <w:t>__________</w:t>
      </w:r>
      <w:r>
        <w:rPr>
          <w:rFonts w:eastAsia="標楷體"/>
          <w:szCs w:val="28"/>
        </w:rPr>
        <w:t>提供質權人（</w:t>
      </w:r>
      <w:r w:rsidR="00031D1A" w:rsidRPr="00031D1A">
        <w:rPr>
          <w:rFonts w:ascii="標楷體" w:eastAsia="標楷體" w:hAnsi="標楷體" w:hint="eastAsia"/>
          <w:u w:val="single"/>
          <w:shd w:val="clear" w:color="auto" w:fill="FFFF00"/>
        </w:rPr>
        <w:t>臺北市中山區長安國民小學</w:t>
      </w:r>
      <w:r>
        <w:rPr>
          <w:rFonts w:eastAsia="標楷體"/>
          <w:szCs w:val="28"/>
        </w:rPr>
        <w:t>）作為質物，以擔保質權人對於（行政契約）之（履約保證金）之質物債權，茲由存款人申請辦理質權設定登記，請貴行於註記後將該存單交付存款人提供質權人，嗣後非經質權人向貴行提出質權消滅通知，不得解除其質權之登記，請　查照辦理見復為荷。</w:t>
      </w:r>
    </w:p>
    <w:p w:rsidR="00DE4AA2" w:rsidRDefault="00BE40B7">
      <w:pPr>
        <w:numPr>
          <w:ilvl w:val="0"/>
          <w:numId w:val="50"/>
        </w:numPr>
        <w:wordWrap w:val="0"/>
        <w:snapToGrid w:val="0"/>
        <w:jc w:val="both"/>
        <w:rPr>
          <w:rFonts w:eastAsia="標楷體"/>
          <w:szCs w:val="28"/>
        </w:rPr>
      </w:pPr>
      <w:r>
        <w:rPr>
          <w:rFonts w:eastAsia="標楷體"/>
          <w:szCs w:val="28"/>
        </w:rPr>
        <w:t>存款人茲聲明：除依貴行規定不得中途解約提取之存單外，茲授權質權人得就本設定質權之存單隨時向貴行表示中途解約，以實行質權，並由貴行逕依質權人提出之實行質權通知書所載實行質權金額而為給付，貴行無需就該實行質權為實體上之審核，存款人絕無異議。</w:t>
      </w:r>
    </w:p>
    <w:p w:rsidR="00DE4AA2" w:rsidRDefault="00BE40B7">
      <w:pPr>
        <w:numPr>
          <w:ilvl w:val="0"/>
          <w:numId w:val="50"/>
        </w:numPr>
        <w:wordWrap w:val="0"/>
        <w:snapToGrid w:val="0"/>
        <w:jc w:val="both"/>
        <w:rPr>
          <w:rFonts w:eastAsia="標楷體"/>
          <w:szCs w:val="28"/>
        </w:rPr>
      </w:pPr>
      <w:r>
        <w:rPr>
          <w:rFonts w:eastAsia="標楷體"/>
          <w:szCs w:val="28"/>
        </w:rPr>
        <w:t>後列存單，貴行同意於質權消滅前不對質權房地之存款債權行使抵銷權。</w:t>
      </w:r>
    </w:p>
    <w:p w:rsidR="00DE4AA2" w:rsidRDefault="00BE40B7">
      <w:pPr>
        <w:wordWrap w:val="0"/>
        <w:snapToGrid w:val="0"/>
        <w:jc w:val="both"/>
        <w:rPr>
          <w:rFonts w:eastAsia="標楷體"/>
          <w:szCs w:val="28"/>
        </w:rPr>
      </w:pPr>
      <w:r>
        <w:rPr>
          <w:rFonts w:eastAsia="標楷體"/>
          <w:szCs w:val="28"/>
        </w:rPr>
        <w:t xml:space="preserve">　　此致</w:t>
      </w:r>
    </w:p>
    <w:p w:rsidR="00DE4AA2" w:rsidRDefault="00BE40B7">
      <w:pPr>
        <w:wordWrap w:val="0"/>
        <w:snapToGrid w:val="0"/>
        <w:jc w:val="both"/>
        <w:rPr>
          <w:rFonts w:eastAsia="標楷體"/>
          <w:szCs w:val="28"/>
        </w:rPr>
      </w:pPr>
      <w:r>
        <w:rPr>
          <w:rFonts w:eastAsia="標楷體"/>
          <w:szCs w:val="28"/>
        </w:rPr>
        <w:t xml:space="preserve">　　　　　　　銀行</w:t>
      </w:r>
    </w:p>
    <w:p w:rsidR="00DE4AA2" w:rsidRDefault="00BE40B7">
      <w:pPr>
        <w:wordWrap w:val="0"/>
        <w:snapToGrid w:val="0"/>
        <w:jc w:val="both"/>
        <w:rPr>
          <w:rFonts w:eastAsia="標楷體"/>
          <w:szCs w:val="28"/>
        </w:rPr>
      </w:pPr>
      <w:r>
        <w:rPr>
          <w:rFonts w:eastAsia="標楷體"/>
          <w:szCs w:val="28"/>
        </w:rPr>
        <w:t xml:space="preserve">存款人（出質人）（即使用人）　　</w:t>
      </w:r>
      <w:r>
        <w:rPr>
          <w:rFonts w:eastAsia="標楷體"/>
          <w:szCs w:val="28"/>
        </w:rPr>
        <w:t xml:space="preserve">                           </w:t>
      </w:r>
      <w:r>
        <w:rPr>
          <w:rFonts w:eastAsia="標楷體"/>
          <w:szCs w:val="28"/>
        </w:rPr>
        <w:t xml:space="preserve">　（請加蓋原留存單印鑑）</w:t>
      </w:r>
      <w:r>
        <w:rPr>
          <w:rFonts w:eastAsia="標楷體"/>
          <w:szCs w:val="28"/>
        </w:rPr>
        <w:br/>
      </w:r>
      <w:r>
        <w:rPr>
          <w:rFonts w:eastAsia="標楷體"/>
          <w:szCs w:val="28"/>
        </w:rPr>
        <w:t>地址</w:t>
      </w:r>
    </w:p>
    <w:p w:rsidR="00DE4AA2" w:rsidRDefault="00BE40B7">
      <w:pPr>
        <w:wordWrap w:val="0"/>
        <w:snapToGrid w:val="0"/>
        <w:jc w:val="both"/>
      </w:pPr>
      <w:r>
        <w:rPr>
          <w:rFonts w:eastAsia="標楷體"/>
          <w:szCs w:val="28"/>
        </w:rPr>
        <w:t>質權人（</w:t>
      </w:r>
      <w:r w:rsidR="00031D1A" w:rsidRPr="00031D1A">
        <w:rPr>
          <w:rFonts w:ascii="標楷體" w:eastAsia="標楷體" w:hAnsi="標楷體" w:hint="eastAsia"/>
          <w:u w:val="single"/>
          <w:shd w:val="clear" w:color="auto" w:fill="FFFF00"/>
        </w:rPr>
        <w:t>臺北市中山區長安國民小學</w:t>
      </w:r>
      <w:r>
        <w:rPr>
          <w:rFonts w:eastAsia="標楷體"/>
          <w:szCs w:val="28"/>
        </w:rPr>
        <w:t xml:space="preserve">）　　　　　　</w:t>
      </w:r>
      <w:r>
        <w:rPr>
          <w:rFonts w:eastAsia="標楷體"/>
          <w:szCs w:val="28"/>
        </w:rPr>
        <w:t xml:space="preserve">                      </w:t>
      </w:r>
      <w:r>
        <w:rPr>
          <w:rFonts w:eastAsia="標楷體"/>
          <w:szCs w:val="28"/>
        </w:rPr>
        <w:t xml:space="preserve">　　（請加蓋印鑑）</w:t>
      </w:r>
      <w:r>
        <w:rPr>
          <w:rFonts w:eastAsia="標楷體"/>
          <w:szCs w:val="28"/>
        </w:rPr>
        <w:br/>
      </w:r>
      <w:r>
        <w:rPr>
          <w:rFonts w:eastAsia="標楷體"/>
          <w:szCs w:val="28"/>
        </w:rPr>
        <w:t>地址</w:t>
      </w:r>
    </w:p>
    <w:p w:rsidR="00DE4AA2" w:rsidRDefault="00DE4AA2">
      <w:pPr>
        <w:wordWrap w:val="0"/>
        <w:snapToGrid w:val="0"/>
        <w:jc w:val="both"/>
        <w:rPr>
          <w:rFonts w:eastAsia="標楷體"/>
          <w:szCs w:val="28"/>
        </w:rPr>
      </w:pPr>
    </w:p>
    <w:p w:rsidR="00DE4AA2" w:rsidRDefault="00BE40B7">
      <w:pPr>
        <w:wordWrap w:val="0"/>
        <w:snapToGrid w:val="0"/>
        <w:jc w:val="both"/>
        <w:rPr>
          <w:rFonts w:eastAsia="標楷體"/>
          <w:szCs w:val="28"/>
        </w:rPr>
      </w:pPr>
      <w:r>
        <w:rPr>
          <w:rFonts w:eastAsia="標楷體"/>
          <w:szCs w:val="28"/>
        </w:rPr>
        <w:t>質物明細表</w:t>
      </w:r>
    </w:p>
    <w:tbl>
      <w:tblPr>
        <w:tblW w:w="6716" w:type="dxa"/>
        <w:tblCellMar>
          <w:left w:w="10" w:type="dxa"/>
          <w:right w:w="10" w:type="dxa"/>
        </w:tblCellMar>
        <w:tblLook w:val="04A0" w:firstRow="1" w:lastRow="0" w:firstColumn="1" w:lastColumn="0" w:noHBand="0" w:noVBand="1"/>
      </w:tblPr>
      <w:tblGrid>
        <w:gridCol w:w="936"/>
        <w:gridCol w:w="1596"/>
        <w:gridCol w:w="936"/>
        <w:gridCol w:w="496"/>
        <w:gridCol w:w="2256"/>
        <w:gridCol w:w="496"/>
      </w:tblGrid>
      <w:tr w:rsidR="00DE4AA2">
        <w:trPr>
          <w:trHeight w:val="405"/>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E4AA2" w:rsidRDefault="00BE40B7">
            <w:pPr>
              <w:wordWrap w:val="0"/>
              <w:snapToGrid w:val="0"/>
              <w:jc w:val="both"/>
              <w:rPr>
                <w:rFonts w:eastAsia="標楷體"/>
                <w:sz w:val="22"/>
                <w:szCs w:val="28"/>
              </w:rPr>
            </w:pPr>
            <w:r>
              <w:rPr>
                <w:rFonts w:eastAsia="標楷體"/>
                <w:sz w:val="22"/>
                <w:szCs w:val="28"/>
              </w:rPr>
              <w:t>存單種類</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E4AA2" w:rsidRDefault="00BE40B7">
            <w:pPr>
              <w:wordWrap w:val="0"/>
              <w:snapToGrid w:val="0"/>
              <w:jc w:val="both"/>
              <w:rPr>
                <w:rFonts w:eastAsia="標楷體"/>
                <w:sz w:val="22"/>
                <w:szCs w:val="28"/>
              </w:rPr>
            </w:pPr>
            <w:r>
              <w:rPr>
                <w:rFonts w:eastAsia="標楷體"/>
                <w:sz w:val="22"/>
                <w:szCs w:val="28"/>
              </w:rPr>
              <w:t>帳號或存單號碼</w:t>
            </w: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E4AA2" w:rsidRDefault="00BE40B7">
            <w:pPr>
              <w:wordWrap w:val="0"/>
              <w:snapToGrid w:val="0"/>
              <w:jc w:val="both"/>
              <w:rPr>
                <w:rFonts w:eastAsia="標楷體"/>
                <w:sz w:val="22"/>
                <w:szCs w:val="28"/>
              </w:rPr>
            </w:pPr>
            <w:r>
              <w:rPr>
                <w:rFonts w:eastAsia="標楷體"/>
                <w:sz w:val="22"/>
                <w:szCs w:val="28"/>
              </w:rPr>
              <w:t>起訖日期</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E4AA2" w:rsidRDefault="00BE40B7">
            <w:pPr>
              <w:wordWrap w:val="0"/>
              <w:snapToGrid w:val="0"/>
              <w:jc w:val="both"/>
              <w:rPr>
                <w:rFonts w:eastAsia="標楷體"/>
                <w:sz w:val="22"/>
                <w:szCs w:val="28"/>
              </w:rPr>
            </w:pPr>
            <w:r>
              <w:rPr>
                <w:rFonts w:eastAsia="標楷體"/>
                <w:sz w:val="22"/>
                <w:szCs w:val="28"/>
              </w:rPr>
              <w:t>利率</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E4AA2" w:rsidRDefault="00BE40B7">
            <w:pPr>
              <w:wordWrap w:val="0"/>
              <w:snapToGrid w:val="0"/>
              <w:jc w:val="both"/>
              <w:rPr>
                <w:rFonts w:eastAsia="標楷體"/>
                <w:sz w:val="22"/>
                <w:szCs w:val="28"/>
              </w:rPr>
            </w:pPr>
            <w:r>
              <w:rPr>
                <w:rFonts w:eastAsia="標楷體"/>
                <w:sz w:val="22"/>
                <w:szCs w:val="28"/>
              </w:rPr>
              <w:t>存單本金金額（大寫）</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E4AA2" w:rsidRDefault="00BE40B7">
            <w:pPr>
              <w:wordWrap w:val="0"/>
              <w:snapToGrid w:val="0"/>
              <w:jc w:val="both"/>
              <w:rPr>
                <w:rFonts w:eastAsia="標楷體"/>
                <w:sz w:val="22"/>
                <w:szCs w:val="28"/>
              </w:rPr>
            </w:pPr>
            <w:r>
              <w:rPr>
                <w:rFonts w:eastAsia="標楷體"/>
                <w:sz w:val="22"/>
                <w:szCs w:val="28"/>
              </w:rPr>
              <w:t>備註</w:t>
            </w:r>
          </w:p>
        </w:tc>
      </w:tr>
      <w:tr w:rsidR="00DE4AA2">
        <w:trPr>
          <w:trHeight w:val="405"/>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E4AA2" w:rsidRDefault="00DE4AA2">
            <w:pPr>
              <w:wordWrap w:val="0"/>
              <w:snapToGrid w:val="0"/>
              <w:jc w:val="both"/>
              <w:rPr>
                <w:rFonts w:eastAsia="標楷體"/>
                <w:sz w:val="22"/>
                <w:szCs w:val="28"/>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E4AA2" w:rsidRDefault="00DE4AA2">
            <w:pPr>
              <w:wordWrap w:val="0"/>
              <w:snapToGrid w:val="0"/>
              <w:jc w:val="both"/>
              <w:rPr>
                <w:rFonts w:eastAsia="標楷體"/>
                <w:sz w:val="22"/>
                <w:szCs w:val="2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E4AA2" w:rsidRDefault="00DE4AA2">
            <w:pPr>
              <w:wordWrap w:val="0"/>
              <w:snapToGrid w:val="0"/>
              <w:jc w:val="both"/>
              <w:rPr>
                <w:rFonts w:eastAsia="標楷體"/>
                <w:sz w:val="22"/>
                <w:szCs w:val="28"/>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E4AA2" w:rsidRDefault="00DE4AA2">
            <w:pPr>
              <w:wordWrap w:val="0"/>
              <w:snapToGrid w:val="0"/>
              <w:jc w:val="both"/>
              <w:rPr>
                <w:rFonts w:eastAsia="標楷體"/>
                <w:sz w:val="22"/>
                <w:szCs w:val="28"/>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E4AA2" w:rsidRDefault="00BE40B7">
            <w:pPr>
              <w:wordWrap w:val="0"/>
              <w:snapToGrid w:val="0"/>
              <w:jc w:val="both"/>
              <w:rPr>
                <w:rFonts w:eastAsia="標楷體"/>
                <w:sz w:val="22"/>
                <w:szCs w:val="28"/>
              </w:rPr>
            </w:pPr>
            <w:r>
              <w:rPr>
                <w:rFonts w:eastAsia="標楷體"/>
                <w:sz w:val="22"/>
                <w:szCs w:val="28"/>
              </w:rPr>
              <w:t>新臺幣</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E4AA2" w:rsidRDefault="00DE4AA2">
            <w:pPr>
              <w:wordWrap w:val="0"/>
              <w:snapToGrid w:val="0"/>
              <w:jc w:val="both"/>
              <w:rPr>
                <w:rFonts w:eastAsia="標楷體"/>
                <w:sz w:val="22"/>
                <w:szCs w:val="28"/>
              </w:rPr>
            </w:pPr>
          </w:p>
        </w:tc>
      </w:tr>
      <w:tr w:rsidR="00DE4AA2">
        <w:trPr>
          <w:trHeight w:val="405"/>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E4AA2" w:rsidRDefault="00DE4AA2">
            <w:pPr>
              <w:wordWrap w:val="0"/>
              <w:snapToGrid w:val="0"/>
              <w:jc w:val="both"/>
              <w:rPr>
                <w:rFonts w:eastAsia="標楷體"/>
                <w:sz w:val="22"/>
                <w:szCs w:val="28"/>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E4AA2" w:rsidRDefault="00DE4AA2">
            <w:pPr>
              <w:wordWrap w:val="0"/>
              <w:snapToGrid w:val="0"/>
              <w:jc w:val="both"/>
              <w:rPr>
                <w:rFonts w:eastAsia="標楷體"/>
                <w:sz w:val="22"/>
                <w:szCs w:val="2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E4AA2" w:rsidRDefault="00DE4AA2">
            <w:pPr>
              <w:wordWrap w:val="0"/>
              <w:snapToGrid w:val="0"/>
              <w:jc w:val="both"/>
              <w:rPr>
                <w:rFonts w:eastAsia="標楷體"/>
                <w:sz w:val="22"/>
                <w:szCs w:val="28"/>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E4AA2" w:rsidRDefault="00DE4AA2">
            <w:pPr>
              <w:wordWrap w:val="0"/>
              <w:snapToGrid w:val="0"/>
              <w:jc w:val="both"/>
              <w:rPr>
                <w:rFonts w:eastAsia="標楷體"/>
                <w:sz w:val="22"/>
                <w:szCs w:val="28"/>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E4AA2" w:rsidRDefault="00BE40B7">
            <w:pPr>
              <w:wordWrap w:val="0"/>
              <w:snapToGrid w:val="0"/>
              <w:jc w:val="both"/>
              <w:rPr>
                <w:rFonts w:eastAsia="標楷體"/>
                <w:sz w:val="22"/>
                <w:szCs w:val="28"/>
              </w:rPr>
            </w:pPr>
            <w:r>
              <w:rPr>
                <w:rFonts w:eastAsia="標楷體"/>
                <w:sz w:val="22"/>
                <w:szCs w:val="28"/>
              </w:rPr>
              <w:t>新臺幣</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E4AA2" w:rsidRDefault="00DE4AA2">
            <w:pPr>
              <w:wordWrap w:val="0"/>
              <w:snapToGrid w:val="0"/>
              <w:jc w:val="both"/>
              <w:rPr>
                <w:rFonts w:eastAsia="標楷體"/>
                <w:sz w:val="22"/>
                <w:szCs w:val="28"/>
              </w:rPr>
            </w:pPr>
          </w:p>
        </w:tc>
      </w:tr>
      <w:tr w:rsidR="00DE4AA2">
        <w:trPr>
          <w:trHeight w:val="405"/>
        </w:trPr>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E4AA2" w:rsidRDefault="00DE4AA2">
            <w:pPr>
              <w:wordWrap w:val="0"/>
              <w:snapToGrid w:val="0"/>
              <w:jc w:val="both"/>
              <w:rPr>
                <w:rFonts w:eastAsia="標楷體"/>
                <w:sz w:val="22"/>
                <w:szCs w:val="28"/>
              </w:rPr>
            </w:pP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E4AA2" w:rsidRDefault="00DE4AA2">
            <w:pPr>
              <w:wordWrap w:val="0"/>
              <w:snapToGrid w:val="0"/>
              <w:jc w:val="both"/>
              <w:rPr>
                <w:rFonts w:eastAsia="標楷體"/>
                <w:sz w:val="22"/>
                <w:szCs w:val="28"/>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E4AA2" w:rsidRDefault="00DE4AA2">
            <w:pPr>
              <w:wordWrap w:val="0"/>
              <w:snapToGrid w:val="0"/>
              <w:jc w:val="both"/>
              <w:rPr>
                <w:rFonts w:eastAsia="標楷體"/>
                <w:sz w:val="22"/>
                <w:szCs w:val="28"/>
              </w:rPr>
            </w:pP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E4AA2" w:rsidRDefault="00DE4AA2">
            <w:pPr>
              <w:wordWrap w:val="0"/>
              <w:snapToGrid w:val="0"/>
              <w:jc w:val="both"/>
              <w:rPr>
                <w:rFonts w:eastAsia="標楷體"/>
                <w:sz w:val="22"/>
                <w:szCs w:val="28"/>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E4AA2" w:rsidRDefault="00BE40B7">
            <w:pPr>
              <w:wordWrap w:val="0"/>
              <w:snapToGrid w:val="0"/>
              <w:jc w:val="both"/>
              <w:rPr>
                <w:rFonts w:eastAsia="標楷體"/>
                <w:sz w:val="22"/>
                <w:szCs w:val="28"/>
              </w:rPr>
            </w:pPr>
            <w:r>
              <w:rPr>
                <w:rFonts w:eastAsia="標楷體"/>
                <w:sz w:val="22"/>
                <w:szCs w:val="28"/>
              </w:rPr>
              <w:t>新臺幣</w:t>
            </w:r>
          </w:p>
        </w:tc>
        <w:tc>
          <w:tcPr>
            <w:tcW w:w="4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E4AA2" w:rsidRDefault="00DE4AA2">
            <w:pPr>
              <w:wordWrap w:val="0"/>
              <w:snapToGrid w:val="0"/>
              <w:jc w:val="both"/>
              <w:rPr>
                <w:rFonts w:eastAsia="標楷體"/>
                <w:sz w:val="22"/>
                <w:szCs w:val="28"/>
              </w:rPr>
            </w:pPr>
          </w:p>
        </w:tc>
      </w:tr>
    </w:tbl>
    <w:p w:rsidR="00DE4AA2" w:rsidRDefault="00BE40B7">
      <w:pPr>
        <w:wordWrap w:val="0"/>
        <w:snapToGrid w:val="0"/>
        <w:jc w:val="center"/>
        <w:rPr>
          <w:rFonts w:eastAsia="標楷體"/>
          <w:szCs w:val="28"/>
        </w:rPr>
      </w:pPr>
      <w:r>
        <w:rPr>
          <w:rFonts w:eastAsia="標楷體"/>
          <w:szCs w:val="28"/>
        </w:rPr>
        <w:t>中　華　民　國　　　　年　　　　月　　　　日</w:t>
      </w:r>
    </w:p>
    <w:p w:rsidR="00DE4AA2" w:rsidRDefault="00BE40B7">
      <w:pPr>
        <w:pageBreakBefore/>
        <w:wordWrap w:val="0"/>
        <w:snapToGrid w:val="0"/>
      </w:pPr>
      <w:r>
        <w:rPr>
          <w:rFonts w:ascii="標楷體" w:eastAsia="標楷體" w:hAnsi="標楷體" w:cs="DFKaiShu-SB-Estd-BF"/>
          <w:kern w:val="0"/>
          <w:sz w:val="28"/>
          <w:szCs w:val="32"/>
        </w:rPr>
        <w:lastRenderedPageBreak/>
        <w:t>附件二</w:t>
      </w:r>
    </w:p>
    <w:p w:rsidR="00DE4AA2" w:rsidRDefault="00BE40B7">
      <w:pPr>
        <w:wordWrap w:val="0"/>
        <w:snapToGrid w:val="0"/>
        <w:jc w:val="center"/>
        <w:rPr>
          <w:rFonts w:ascii="標楷體" w:eastAsia="標楷體" w:hAnsi="標楷體"/>
          <w:b/>
          <w:bCs/>
          <w:sz w:val="28"/>
          <w:szCs w:val="40"/>
        </w:rPr>
      </w:pPr>
      <w:r>
        <w:rPr>
          <w:rFonts w:ascii="標楷體" w:eastAsia="標楷體" w:hAnsi="標楷體"/>
          <w:b/>
          <w:bCs/>
          <w:sz w:val="28"/>
          <w:szCs w:val="40"/>
        </w:rPr>
        <w:t>施工及維護期間注意及配合事項</w:t>
      </w:r>
    </w:p>
    <w:p w:rsidR="00DE4AA2" w:rsidRDefault="00DE4AA2">
      <w:pPr>
        <w:wordWrap w:val="0"/>
        <w:snapToGrid w:val="0"/>
        <w:rPr>
          <w:rFonts w:ascii="標楷體" w:eastAsia="標楷體" w:hAnsi="標楷體"/>
          <w:b/>
          <w:bCs/>
          <w:sz w:val="32"/>
          <w:szCs w:val="32"/>
        </w:rPr>
      </w:pPr>
    </w:p>
    <w:p w:rsidR="00DE4AA2" w:rsidRDefault="00BE40B7">
      <w:pPr>
        <w:numPr>
          <w:ilvl w:val="0"/>
          <w:numId w:val="51"/>
        </w:numPr>
        <w:tabs>
          <w:tab w:val="left" w:pos="900"/>
        </w:tabs>
        <w:wordWrap w:val="0"/>
        <w:snapToGrid w:val="0"/>
        <w:ind w:left="900" w:hanging="509"/>
        <w:rPr>
          <w:rFonts w:ascii="標楷體" w:eastAsia="標楷體" w:hAnsi="標楷體"/>
          <w:szCs w:val="32"/>
        </w:rPr>
      </w:pPr>
      <w:r>
        <w:rPr>
          <w:rFonts w:ascii="標楷體" w:eastAsia="標楷體" w:hAnsi="標楷體"/>
          <w:szCs w:val="32"/>
        </w:rPr>
        <w:t>於進場施工前需提送完整的施工計畫書予甲方進行審查，於甲方核定後，始得設置，並由乙方送管理機關備查。【需包含現場負責人名字及聯絡方式、施工進度、施工範圍、太陽光電系統(含升壓設備)及管線位置分布】</w:t>
      </w:r>
    </w:p>
    <w:p w:rsidR="00DE4AA2" w:rsidRDefault="00BE40B7">
      <w:pPr>
        <w:numPr>
          <w:ilvl w:val="0"/>
          <w:numId w:val="51"/>
        </w:numPr>
        <w:tabs>
          <w:tab w:val="left" w:pos="900"/>
        </w:tabs>
        <w:wordWrap w:val="0"/>
        <w:snapToGrid w:val="0"/>
        <w:ind w:left="900" w:hanging="509"/>
        <w:rPr>
          <w:rFonts w:ascii="標楷體" w:eastAsia="標楷體" w:hAnsi="標楷體"/>
          <w:szCs w:val="32"/>
        </w:rPr>
      </w:pPr>
      <w:r>
        <w:rPr>
          <w:rFonts w:ascii="標楷體" w:eastAsia="標楷體" w:hAnsi="標楷體"/>
          <w:szCs w:val="32"/>
        </w:rPr>
        <w:t>交流路徑及外線路徑施工方式確認：依照規劃設計圖說與管理機關進行施工前檢討光電設置區域及現場管線路徑位置確認，新設KWH台電電錶箱及台電外線開挖位置確認。</w:t>
      </w:r>
    </w:p>
    <w:p w:rsidR="00DE4AA2" w:rsidRDefault="00BE40B7">
      <w:pPr>
        <w:numPr>
          <w:ilvl w:val="0"/>
          <w:numId w:val="51"/>
        </w:numPr>
        <w:tabs>
          <w:tab w:val="left" w:pos="900"/>
        </w:tabs>
        <w:wordWrap w:val="0"/>
        <w:snapToGrid w:val="0"/>
        <w:ind w:left="900" w:hanging="509"/>
        <w:rPr>
          <w:rFonts w:ascii="標楷體" w:eastAsia="標楷體" w:hAnsi="標楷體"/>
          <w:szCs w:val="32"/>
        </w:rPr>
      </w:pPr>
      <w:r>
        <w:rPr>
          <w:rFonts w:ascii="標楷體" w:eastAsia="標楷體" w:hAnsi="標楷體"/>
          <w:szCs w:val="32"/>
        </w:rPr>
        <w:t>吊裝時間及注意事項：應與管理機關討論進行吊裝作業時間，安全防護圍籬措施應做好，並應指派1至2員進行現場監工及指揮。</w:t>
      </w:r>
    </w:p>
    <w:p w:rsidR="00DE4AA2" w:rsidRDefault="00BE40B7">
      <w:pPr>
        <w:numPr>
          <w:ilvl w:val="0"/>
          <w:numId w:val="51"/>
        </w:numPr>
        <w:tabs>
          <w:tab w:val="left" w:pos="900"/>
        </w:tabs>
        <w:wordWrap w:val="0"/>
        <w:snapToGrid w:val="0"/>
        <w:ind w:left="900" w:hanging="509"/>
        <w:rPr>
          <w:rFonts w:ascii="標楷體" w:eastAsia="標楷體" w:hAnsi="標楷體"/>
          <w:szCs w:val="32"/>
        </w:rPr>
      </w:pPr>
      <w:r>
        <w:rPr>
          <w:rFonts w:ascii="標楷體" w:eastAsia="標楷體" w:hAnsi="標楷體"/>
          <w:szCs w:val="32"/>
        </w:rPr>
        <w:t>一般日及假日施工時間確認：一般日施工必須避免鑽孔及吊裝或灌漿作業，可以進行模組組裝作業及電氣設備安裝，假日施工主要進行鑽孔及吊裝或灌漿作業需事先提出申請。</w:t>
      </w:r>
    </w:p>
    <w:p w:rsidR="00DE4AA2" w:rsidRDefault="00BE40B7">
      <w:pPr>
        <w:numPr>
          <w:ilvl w:val="0"/>
          <w:numId w:val="51"/>
        </w:numPr>
        <w:tabs>
          <w:tab w:val="left" w:pos="900"/>
        </w:tabs>
        <w:wordWrap w:val="0"/>
        <w:snapToGrid w:val="0"/>
        <w:ind w:left="900" w:hanging="509"/>
        <w:rPr>
          <w:rFonts w:ascii="標楷體" w:eastAsia="標楷體" w:hAnsi="標楷體"/>
          <w:szCs w:val="32"/>
        </w:rPr>
      </w:pPr>
      <w:r>
        <w:rPr>
          <w:rFonts w:ascii="標楷體" w:eastAsia="標楷體" w:hAnsi="標楷體"/>
          <w:szCs w:val="32"/>
        </w:rPr>
        <w:t>臨時水電補貼金額：補貼管理機關之臨時水電費用。</w:t>
      </w:r>
    </w:p>
    <w:p w:rsidR="00DE4AA2" w:rsidRDefault="00BE40B7">
      <w:pPr>
        <w:numPr>
          <w:ilvl w:val="0"/>
          <w:numId w:val="51"/>
        </w:numPr>
        <w:tabs>
          <w:tab w:val="left" w:pos="900"/>
        </w:tabs>
        <w:wordWrap w:val="0"/>
        <w:snapToGrid w:val="0"/>
        <w:ind w:left="900" w:hanging="509"/>
        <w:rPr>
          <w:rFonts w:ascii="標楷體" w:eastAsia="標楷體" w:hAnsi="標楷體"/>
          <w:szCs w:val="32"/>
        </w:rPr>
      </w:pPr>
      <w:r>
        <w:rPr>
          <w:rFonts w:ascii="標楷體" w:eastAsia="標楷體" w:hAnsi="標楷體"/>
          <w:szCs w:val="32"/>
        </w:rPr>
        <w:t>盥洗室及垃圾處理規定確認：於當日工程結束後，必須將施工區域環境及使用過之廁所清理乾淨並且將垃圾帶出。</w:t>
      </w:r>
    </w:p>
    <w:p w:rsidR="00DE4AA2" w:rsidRDefault="00BE40B7">
      <w:pPr>
        <w:numPr>
          <w:ilvl w:val="0"/>
          <w:numId w:val="51"/>
        </w:numPr>
        <w:tabs>
          <w:tab w:val="left" w:pos="900"/>
        </w:tabs>
        <w:wordWrap w:val="0"/>
        <w:snapToGrid w:val="0"/>
        <w:ind w:left="900" w:hanging="509"/>
        <w:rPr>
          <w:rFonts w:ascii="標楷體" w:eastAsia="標楷體" w:hAnsi="標楷體"/>
          <w:szCs w:val="32"/>
        </w:rPr>
      </w:pPr>
      <w:r>
        <w:rPr>
          <w:rFonts w:ascii="標楷體" w:eastAsia="標楷體" w:hAnsi="標楷體"/>
          <w:szCs w:val="32"/>
        </w:rPr>
        <w:t>校園及辦公區域內禁止吸菸、打赤膊及須避免嚼檳榔，嚴禁亂丟菸蒂、亂吐檳榔汁及飲用含酒精類飲料，如經發現，管理機關有權要求該工作人員不得再進入施工。</w:t>
      </w:r>
    </w:p>
    <w:p w:rsidR="00DE4AA2" w:rsidRDefault="00BE40B7">
      <w:pPr>
        <w:numPr>
          <w:ilvl w:val="0"/>
          <w:numId w:val="51"/>
        </w:numPr>
        <w:tabs>
          <w:tab w:val="left" w:pos="900"/>
        </w:tabs>
        <w:wordWrap w:val="0"/>
        <w:snapToGrid w:val="0"/>
        <w:ind w:left="900" w:hanging="509"/>
      </w:pPr>
      <w:r>
        <w:rPr>
          <w:rFonts w:ascii="標楷體" w:eastAsia="標楷體" w:hAnsi="標楷體"/>
          <w:szCs w:val="32"/>
        </w:rPr>
        <w:t>工作人員須聽從管理機關的指示，非經同意不得入內，如有任何需求應事先洽管理機關聯絡窗口協調後依指示辦理。並嚴禁破壞或擅自移除管理機關的門禁設施。</w:t>
      </w:r>
    </w:p>
    <w:p w:rsidR="00DE4AA2" w:rsidRDefault="00BE40B7">
      <w:pPr>
        <w:numPr>
          <w:ilvl w:val="0"/>
          <w:numId w:val="51"/>
        </w:numPr>
        <w:tabs>
          <w:tab w:val="left" w:pos="900"/>
        </w:tabs>
        <w:wordWrap w:val="0"/>
        <w:snapToGrid w:val="0"/>
        <w:ind w:left="900" w:hanging="509"/>
        <w:rPr>
          <w:rFonts w:ascii="標楷體" w:eastAsia="標楷體" w:hAnsi="標楷體"/>
          <w:szCs w:val="32"/>
        </w:rPr>
      </w:pPr>
      <w:r>
        <w:rPr>
          <w:rFonts w:ascii="標楷體" w:eastAsia="標楷體" w:hAnsi="標楷體"/>
          <w:szCs w:val="32"/>
        </w:rPr>
        <w:t>上課或辦公時間應避免使用高噪音的機具或工具。施工人員應做好一切必要的防範以避免有任何物品飛落物砸傷人員及造成周邊髒亂。</w:t>
      </w:r>
    </w:p>
    <w:p w:rsidR="00DE4AA2" w:rsidRDefault="00BE40B7">
      <w:pPr>
        <w:numPr>
          <w:ilvl w:val="0"/>
          <w:numId w:val="51"/>
        </w:numPr>
        <w:tabs>
          <w:tab w:val="left" w:pos="900"/>
        </w:tabs>
        <w:wordWrap w:val="0"/>
        <w:snapToGrid w:val="0"/>
        <w:ind w:left="900" w:hanging="509"/>
        <w:rPr>
          <w:rFonts w:ascii="標楷體" w:eastAsia="標楷體" w:hAnsi="標楷體"/>
          <w:szCs w:val="32"/>
        </w:rPr>
      </w:pPr>
      <w:r>
        <w:rPr>
          <w:rFonts w:ascii="標楷體" w:eastAsia="標楷體" w:hAnsi="標楷體"/>
          <w:szCs w:val="32"/>
        </w:rPr>
        <w:t>工作人員於施工及維護期間中只限定於施工及維護範圍內活動，不得影響學生上課或人員辦公。</w:t>
      </w:r>
    </w:p>
    <w:p w:rsidR="00DE4AA2" w:rsidRDefault="00DE4AA2">
      <w:pPr>
        <w:wordWrap w:val="0"/>
        <w:snapToGrid w:val="0"/>
        <w:rPr>
          <w:rFonts w:ascii="標楷體" w:eastAsia="標楷體" w:hAnsi="標楷體"/>
          <w:szCs w:val="24"/>
        </w:rPr>
      </w:pPr>
    </w:p>
    <w:sectPr w:rsidR="00DE4AA2">
      <w:headerReference w:type="default" r:id="rId7"/>
      <w:footerReference w:type="default" r:id="rId8"/>
      <w:pgSz w:w="11907" w:h="16840"/>
      <w:pgMar w:top="964" w:right="1134" w:bottom="964" w:left="851" w:header="851" w:footer="720" w:gutter="0"/>
      <w:cols w:space="72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2479" w:rsidRDefault="00232479">
      <w:r>
        <w:separator/>
      </w:r>
    </w:p>
  </w:endnote>
  <w:endnote w:type="continuationSeparator" w:id="0">
    <w:p w:rsidR="00232479" w:rsidRDefault="0023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華康楷書體W5(P)">
    <w:charset w:val="00"/>
    <w:family w:val="script"/>
    <w:pitch w:val="variable"/>
  </w:font>
  <w:font w:name="全真楷書">
    <w:altName w:val="新細明體"/>
    <w:charset w:val="00"/>
    <w:family w:val="modern"/>
    <w:pitch w:val="fixed"/>
  </w:font>
  <w:font w:name="華康細明體">
    <w:altName w:val="微軟正黑體"/>
    <w:charset w:val="88"/>
    <w:family w:val="modern"/>
    <w:pitch w:val="fixed"/>
    <w:sig w:usb0="80000001" w:usb1="28091800" w:usb2="00000016" w:usb3="00000000" w:csb0="00100000" w:csb1="00000000"/>
  </w:font>
  <w:font w:name="華康楷書體W5">
    <w:altName w:val="微軟正黑體"/>
    <w:charset w:val="88"/>
    <w:family w:val="script"/>
    <w:pitch w:val="fixed"/>
    <w:sig w:usb0="80000001" w:usb1="28091800" w:usb2="00000016" w:usb3="00000000" w:csb0="00100000" w:csb1="00000000"/>
  </w:font>
  <w:font w:name="DFKaiShu-SB-Estd-BF">
    <w:charset w:val="00"/>
    <w:family w:val="auto"/>
    <w:pitch w:val="default"/>
  </w:font>
  <w:font w:name="Calibri">
    <w:panose1 w:val="020F0502020204030204"/>
    <w:charset w:val="00"/>
    <w:family w:val="swiss"/>
    <w:pitch w:val="variable"/>
    <w:sig w:usb0="E4002EFF" w:usb1="C000247B" w:usb2="00000009" w:usb3="00000000" w:csb0="000001FF" w:csb1="00000000"/>
  </w:font>
  <w:font w:name="sө">
    <w:charset w:val="00"/>
    <w:family w:val="roman"/>
    <w:pitch w:val="default"/>
  </w:font>
  <w:font w:name="華康粗黑體(P)">
    <w:charset w:val="00"/>
    <w:family w:val="swiss"/>
    <w:pitch w:val="variable"/>
  </w:font>
  <w:font w:name="雅真中楷">
    <w:charset w:val="00"/>
    <w:family w:val="modern"/>
    <w:pitch w:val="fixed"/>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763" w:rsidRDefault="00BE40B7">
    <w:pPr>
      <w:pStyle w:val="a7"/>
      <w:jc w:val="center"/>
    </w:pPr>
    <w:r>
      <w:rPr>
        <w:lang w:val="zh-TW"/>
      </w:rPr>
      <w:fldChar w:fldCharType="begin"/>
    </w:r>
    <w:r>
      <w:rPr>
        <w:lang w:val="zh-TW"/>
      </w:rPr>
      <w:instrText xml:space="preserve"> PAGE </w:instrText>
    </w:r>
    <w:r>
      <w:rPr>
        <w:lang w:val="zh-TW"/>
      </w:rPr>
      <w:fldChar w:fldCharType="separate"/>
    </w:r>
    <w:r w:rsidR="00CF795B">
      <w:rPr>
        <w:noProof/>
        <w:lang w:val="zh-TW"/>
      </w:rPr>
      <w:t>13</w:t>
    </w:r>
    <w:r>
      <w:rPr>
        <w:lang w:val="zh-TW"/>
      </w:rPr>
      <w:fldChar w:fldCharType="end"/>
    </w:r>
  </w:p>
  <w:p w:rsidR="00342763" w:rsidRDefault="0023247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2479" w:rsidRDefault="00232479">
      <w:r>
        <w:rPr>
          <w:color w:val="000000"/>
        </w:rPr>
        <w:separator/>
      </w:r>
    </w:p>
  </w:footnote>
  <w:footnote w:type="continuationSeparator" w:id="0">
    <w:p w:rsidR="00232479" w:rsidRDefault="00232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2763" w:rsidRDefault="00BE40B7">
    <w:pPr>
      <w:pStyle w:val="ad"/>
      <w:jc w:val="right"/>
    </w:pPr>
    <w:r>
      <w:t>202</w:t>
    </w:r>
    <w:r w:rsidR="00A93693">
      <w:rPr>
        <w:rFonts w:hint="eastAsia"/>
      </w:rPr>
      <w:t>3</w:t>
    </w:r>
    <w:r>
      <w:t>/</w:t>
    </w:r>
    <w:r w:rsidR="00A93693">
      <w:rPr>
        <w:rFonts w:hint="eastAsia"/>
      </w:rPr>
      <w:t>2</w:t>
    </w:r>
    <w:r>
      <w:t>/</w:t>
    </w:r>
    <w:r w:rsidR="00A93693">
      <w:rPr>
        <w:rFonts w:hint="eastAsia"/>
      </w:rPr>
      <w:t>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5D13"/>
    <w:multiLevelType w:val="multilevel"/>
    <w:tmpl w:val="E01874D0"/>
    <w:styleLink w:val="LFO1"/>
    <w:lvl w:ilvl="0">
      <w:start w:val="1"/>
      <w:numFmt w:val="taiwaneseCountingThousand"/>
      <w:pStyle w:val="a"/>
      <w:suff w:val="nothing"/>
      <w:lvlText w:val="%1、"/>
      <w:lvlJc w:val="left"/>
      <w:pPr>
        <w:ind w:left="1077" w:hanging="714"/>
      </w:pPr>
    </w:lvl>
    <w:lvl w:ilvl="1">
      <w:start w:val="1"/>
      <w:numFmt w:val="taiwaneseCountingThousand"/>
      <w:suff w:val="nothing"/>
      <w:lvlText w:val="（%2）"/>
      <w:lvlJc w:val="left"/>
      <w:pPr>
        <w:ind w:left="1803" w:hanging="1077"/>
      </w:pPr>
    </w:lvl>
    <w:lvl w:ilvl="2">
      <w:start w:val="1"/>
      <w:numFmt w:val="decimalFullWidth"/>
      <w:suff w:val="nothing"/>
      <w:lvlText w:val="%3、"/>
      <w:lvlJc w:val="left"/>
      <w:pPr>
        <w:ind w:left="2189" w:hanging="737"/>
      </w:pPr>
    </w:lvl>
    <w:lvl w:ilvl="3">
      <w:start w:val="1"/>
      <w:numFmt w:val="decimalFullWidth"/>
      <w:suff w:val="nothing"/>
      <w:lvlText w:val="（%4）"/>
      <w:lvlJc w:val="left"/>
      <w:pPr>
        <w:ind w:left="2903" w:hanging="1089"/>
      </w:pPr>
    </w:lvl>
    <w:lvl w:ilvl="4">
      <w:start w:val="1"/>
      <w:numFmt w:val="ideographTraditional"/>
      <w:suff w:val="nothing"/>
      <w:lvlText w:val="%5、"/>
      <w:lvlJc w:val="left"/>
      <w:pPr>
        <w:ind w:left="3280" w:hanging="64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1" w15:restartNumberingAfterBreak="0">
    <w:nsid w:val="04CB0518"/>
    <w:multiLevelType w:val="multilevel"/>
    <w:tmpl w:val="2174CCF2"/>
    <w:lvl w:ilvl="0">
      <w:start w:val="1"/>
      <w:numFmt w:val="taiwaneseCountingThousand"/>
      <w:lvlText w:val="(%1)"/>
      <w:lvlJc w:val="left"/>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2" w15:restartNumberingAfterBreak="0">
    <w:nsid w:val="071C6262"/>
    <w:multiLevelType w:val="multilevel"/>
    <w:tmpl w:val="106C7E26"/>
    <w:lvl w:ilvl="0">
      <w:start w:val="1"/>
      <w:numFmt w:val="decimal"/>
      <w:lvlText w:val="(%1)"/>
      <w:lvlJc w:val="left"/>
      <w:pPr>
        <w:ind w:left="3108" w:hanging="360"/>
      </w:pPr>
    </w:lvl>
    <w:lvl w:ilvl="1">
      <w:start w:val="1"/>
      <w:numFmt w:val="ideographTraditional"/>
      <w:lvlText w:val="%2、"/>
      <w:lvlJc w:val="left"/>
      <w:pPr>
        <w:ind w:left="3708" w:hanging="480"/>
      </w:pPr>
    </w:lvl>
    <w:lvl w:ilvl="2">
      <w:start w:val="1"/>
      <w:numFmt w:val="lowerRoman"/>
      <w:lvlText w:val="%3."/>
      <w:lvlJc w:val="right"/>
      <w:pPr>
        <w:ind w:left="4188" w:hanging="480"/>
      </w:pPr>
    </w:lvl>
    <w:lvl w:ilvl="3">
      <w:start w:val="1"/>
      <w:numFmt w:val="decimal"/>
      <w:lvlText w:val="%4."/>
      <w:lvlJc w:val="left"/>
      <w:pPr>
        <w:ind w:left="4668" w:hanging="480"/>
      </w:pPr>
    </w:lvl>
    <w:lvl w:ilvl="4">
      <w:start w:val="1"/>
      <w:numFmt w:val="ideographTraditional"/>
      <w:lvlText w:val="%5、"/>
      <w:lvlJc w:val="left"/>
      <w:pPr>
        <w:ind w:left="5148" w:hanging="480"/>
      </w:pPr>
    </w:lvl>
    <w:lvl w:ilvl="5">
      <w:start w:val="1"/>
      <w:numFmt w:val="lowerRoman"/>
      <w:lvlText w:val="%6."/>
      <w:lvlJc w:val="right"/>
      <w:pPr>
        <w:ind w:left="5628" w:hanging="480"/>
      </w:pPr>
    </w:lvl>
    <w:lvl w:ilvl="6">
      <w:start w:val="1"/>
      <w:numFmt w:val="decimal"/>
      <w:lvlText w:val="%7."/>
      <w:lvlJc w:val="left"/>
      <w:pPr>
        <w:ind w:left="6108" w:hanging="480"/>
      </w:pPr>
    </w:lvl>
    <w:lvl w:ilvl="7">
      <w:start w:val="1"/>
      <w:numFmt w:val="ideographTraditional"/>
      <w:lvlText w:val="%8、"/>
      <w:lvlJc w:val="left"/>
      <w:pPr>
        <w:ind w:left="6588" w:hanging="480"/>
      </w:pPr>
    </w:lvl>
    <w:lvl w:ilvl="8">
      <w:start w:val="1"/>
      <w:numFmt w:val="lowerRoman"/>
      <w:lvlText w:val="%9."/>
      <w:lvlJc w:val="right"/>
      <w:pPr>
        <w:ind w:left="7068" w:hanging="480"/>
      </w:pPr>
    </w:lvl>
  </w:abstractNum>
  <w:abstractNum w:abstractNumId="3" w15:restartNumberingAfterBreak="0">
    <w:nsid w:val="09996637"/>
    <w:multiLevelType w:val="multilevel"/>
    <w:tmpl w:val="0E7ADF3C"/>
    <w:lvl w:ilvl="0">
      <w:start w:val="1"/>
      <w:numFmt w:val="taiwaneseCountingThousand"/>
      <w:lvlText w:val="(%1)"/>
      <w:lvlJc w:val="left"/>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4" w15:restartNumberingAfterBreak="0">
    <w:nsid w:val="0CE42850"/>
    <w:multiLevelType w:val="multilevel"/>
    <w:tmpl w:val="5C5C897E"/>
    <w:lvl w:ilvl="0">
      <w:start w:val="1"/>
      <w:numFmt w:val="taiwaneseCountingThousand"/>
      <w:lvlText w:val="(%1)"/>
      <w:lvlJc w:val="left"/>
      <w:pPr>
        <w:ind w:left="2040" w:hanging="480"/>
      </w:pPr>
      <w:rPr>
        <w:sz w:val="24"/>
        <w:szCs w:val="24"/>
      </w:r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5" w15:restartNumberingAfterBreak="0">
    <w:nsid w:val="0EDB1CD7"/>
    <w:multiLevelType w:val="multilevel"/>
    <w:tmpl w:val="0FDA9A14"/>
    <w:lvl w:ilvl="0">
      <w:start w:val="1"/>
      <w:numFmt w:val="taiwaneseCountingThousand"/>
      <w:lvlText w:val="(%1)"/>
      <w:lvlJc w:val="left"/>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6" w15:restartNumberingAfterBreak="0">
    <w:nsid w:val="0F7B1283"/>
    <w:multiLevelType w:val="multilevel"/>
    <w:tmpl w:val="A6268C8E"/>
    <w:lvl w:ilvl="0">
      <w:start w:val="1"/>
      <w:numFmt w:val="taiwaneseCountingThousand"/>
      <w:lvlText w:val="(%1)"/>
      <w:lvlJc w:val="left"/>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7" w15:restartNumberingAfterBreak="0">
    <w:nsid w:val="0FB42E8D"/>
    <w:multiLevelType w:val="multilevel"/>
    <w:tmpl w:val="387C6140"/>
    <w:lvl w:ilvl="0">
      <w:start w:val="1"/>
      <w:numFmt w:val="taiwaneseCountingThousand"/>
      <w:lvlText w:val="(%1)"/>
      <w:lvlJc w:val="left"/>
      <w:pPr>
        <w:ind w:left="2749"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8" w15:restartNumberingAfterBreak="0">
    <w:nsid w:val="134917C0"/>
    <w:multiLevelType w:val="multilevel"/>
    <w:tmpl w:val="C4AEBEF0"/>
    <w:lvl w:ilvl="0">
      <w:start w:val="1"/>
      <w:numFmt w:val="decimal"/>
      <w:lvlText w:val="(%1)"/>
      <w:lvlJc w:val="left"/>
      <w:pPr>
        <w:ind w:left="2748" w:hanging="480"/>
      </w:pPr>
      <w:rPr>
        <w:rFonts w:ascii="標楷體" w:eastAsia="標楷體" w:hAnsi="標楷體"/>
        <w:color w:val="auto"/>
      </w:rPr>
    </w:lvl>
    <w:lvl w:ilvl="1">
      <w:start w:val="1"/>
      <w:numFmt w:val="ideographTraditional"/>
      <w:lvlText w:val="%2、"/>
      <w:lvlJc w:val="left"/>
      <w:pPr>
        <w:ind w:left="3228" w:hanging="480"/>
      </w:pPr>
    </w:lvl>
    <w:lvl w:ilvl="2">
      <w:start w:val="1"/>
      <w:numFmt w:val="lowerRoman"/>
      <w:lvlText w:val="%3."/>
      <w:lvlJc w:val="right"/>
      <w:pPr>
        <w:ind w:left="3708" w:hanging="480"/>
      </w:pPr>
    </w:lvl>
    <w:lvl w:ilvl="3">
      <w:start w:val="1"/>
      <w:numFmt w:val="decimal"/>
      <w:lvlText w:val="%4."/>
      <w:lvlJc w:val="left"/>
      <w:pPr>
        <w:ind w:left="4188" w:hanging="480"/>
      </w:pPr>
    </w:lvl>
    <w:lvl w:ilvl="4">
      <w:start w:val="1"/>
      <w:numFmt w:val="ideographTraditional"/>
      <w:lvlText w:val="%5、"/>
      <w:lvlJc w:val="left"/>
      <w:pPr>
        <w:ind w:left="4668" w:hanging="480"/>
      </w:pPr>
    </w:lvl>
    <w:lvl w:ilvl="5">
      <w:start w:val="1"/>
      <w:numFmt w:val="lowerRoman"/>
      <w:lvlText w:val="%6."/>
      <w:lvlJc w:val="right"/>
      <w:pPr>
        <w:ind w:left="5148" w:hanging="480"/>
      </w:pPr>
    </w:lvl>
    <w:lvl w:ilvl="6">
      <w:start w:val="1"/>
      <w:numFmt w:val="decimal"/>
      <w:lvlText w:val="%7."/>
      <w:lvlJc w:val="left"/>
      <w:pPr>
        <w:ind w:left="5628" w:hanging="480"/>
      </w:pPr>
    </w:lvl>
    <w:lvl w:ilvl="7">
      <w:start w:val="1"/>
      <w:numFmt w:val="ideographTraditional"/>
      <w:lvlText w:val="%8、"/>
      <w:lvlJc w:val="left"/>
      <w:pPr>
        <w:ind w:left="6108" w:hanging="480"/>
      </w:pPr>
    </w:lvl>
    <w:lvl w:ilvl="8">
      <w:start w:val="1"/>
      <w:numFmt w:val="lowerRoman"/>
      <w:lvlText w:val="%9."/>
      <w:lvlJc w:val="right"/>
      <w:pPr>
        <w:ind w:left="6588" w:hanging="480"/>
      </w:pPr>
    </w:lvl>
  </w:abstractNum>
  <w:abstractNum w:abstractNumId="9" w15:restartNumberingAfterBreak="0">
    <w:nsid w:val="14400B83"/>
    <w:multiLevelType w:val="multilevel"/>
    <w:tmpl w:val="8B6AD18C"/>
    <w:lvl w:ilvl="0">
      <w:start w:val="1"/>
      <w:numFmt w:val="taiwaneseCountingThousand"/>
      <w:lvlText w:val="(%1)"/>
      <w:lvlJc w:val="left"/>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10" w15:restartNumberingAfterBreak="0">
    <w:nsid w:val="154E739E"/>
    <w:multiLevelType w:val="multilevel"/>
    <w:tmpl w:val="A13E3644"/>
    <w:lvl w:ilvl="0">
      <w:start w:val="1"/>
      <w:numFmt w:val="decimal"/>
      <w:lvlText w:val="%1."/>
      <w:lvlJc w:val="left"/>
      <w:pPr>
        <w:ind w:left="2748" w:hanging="480"/>
      </w:pPr>
      <w:rPr>
        <w:rFonts w:ascii="標楷體" w:eastAsia="標楷體" w:hAnsi="標楷體" w:cs="Times New Roman"/>
      </w:rPr>
    </w:lvl>
    <w:lvl w:ilvl="1">
      <w:start w:val="1"/>
      <w:numFmt w:val="ideographTraditional"/>
      <w:lvlText w:val="%2、"/>
      <w:lvlJc w:val="left"/>
      <w:pPr>
        <w:ind w:left="3228" w:hanging="480"/>
      </w:pPr>
    </w:lvl>
    <w:lvl w:ilvl="2">
      <w:start w:val="1"/>
      <w:numFmt w:val="lowerRoman"/>
      <w:lvlText w:val="%3."/>
      <w:lvlJc w:val="right"/>
      <w:pPr>
        <w:ind w:left="3708" w:hanging="480"/>
      </w:pPr>
    </w:lvl>
    <w:lvl w:ilvl="3">
      <w:start w:val="1"/>
      <w:numFmt w:val="decimal"/>
      <w:lvlText w:val="%4."/>
      <w:lvlJc w:val="left"/>
      <w:pPr>
        <w:ind w:left="4188" w:hanging="480"/>
      </w:pPr>
    </w:lvl>
    <w:lvl w:ilvl="4">
      <w:start w:val="1"/>
      <w:numFmt w:val="ideographTraditional"/>
      <w:lvlText w:val="%5、"/>
      <w:lvlJc w:val="left"/>
      <w:pPr>
        <w:ind w:left="4668" w:hanging="480"/>
      </w:pPr>
    </w:lvl>
    <w:lvl w:ilvl="5">
      <w:start w:val="1"/>
      <w:numFmt w:val="lowerRoman"/>
      <w:lvlText w:val="%6."/>
      <w:lvlJc w:val="right"/>
      <w:pPr>
        <w:ind w:left="5148" w:hanging="480"/>
      </w:pPr>
    </w:lvl>
    <w:lvl w:ilvl="6">
      <w:start w:val="1"/>
      <w:numFmt w:val="decimal"/>
      <w:lvlText w:val="%7."/>
      <w:lvlJc w:val="left"/>
      <w:pPr>
        <w:ind w:left="5628" w:hanging="480"/>
      </w:pPr>
    </w:lvl>
    <w:lvl w:ilvl="7">
      <w:start w:val="1"/>
      <w:numFmt w:val="ideographTraditional"/>
      <w:lvlText w:val="%8、"/>
      <w:lvlJc w:val="left"/>
      <w:pPr>
        <w:ind w:left="6108" w:hanging="480"/>
      </w:pPr>
    </w:lvl>
    <w:lvl w:ilvl="8">
      <w:start w:val="1"/>
      <w:numFmt w:val="lowerRoman"/>
      <w:lvlText w:val="%9."/>
      <w:lvlJc w:val="right"/>
      <w:pPr>
        <w:ind w:left="6588" w:hanging="480"/>
      </w:pPr>
    </w:lvl>
  </w:abstractNum>
  <w:abstractNum w:abstractNumId="11" w15:restartNumberingAfterBreak="0">
    <w:nsid w:val="16240C2C"/>
    <w:multiLevelType w:val="multilevel"/>
    <w:tmpl w:val="5136D830"/>
    <w:lvl w:ilvl="0">
      <w:start w:val="1"/>
      <w:numFmt w:val="taiwaneseCountingThousand"/>
      <w:lvlText w:val="(%1)"/>
      <w:lvlJc w:val="left"/>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12" w15:restartNumberingAfterBreak="0">
    <w:nsid w:val="1C2B637D"/>
    <w:multiLevelType w:val="multilevel"/>
    <w:tmpl w:val="E4D20418"/>
    <w:lvl w:ilvl="0">
      <w:start w:val="1"/>
      <w:numFmt w:val="decimal"/>
      <w:lvlText w:val="%1."/>
      <w:lvlJc w:val="left"/>
      <w:pPr>
        <w:ind w:left="2748" w:hanging="480"/>
      </w:pPr>
      <w:rPr>
        <w:rFonts w:ascii="標楷體" w:eastAsia="標楷體" w:hAnsi="標楷體" w:cs="Times New Roman"/>
      </w:rPr>
    </w:lvl>
    <w:lvl w:ilvl="1">
      <w:start w:val="1"/>
      <w:numFmt w:val="ideographTraditional"/>
      <w:lvlText w:val="%2、"/>
      <w:lvlJc w:val="left"/>
      <w:pPr>
        <w:ind w:left="3228" w:hanging="480"/>
      </w:pPr>
    </w:lvl>
    <w:lvl w:ilvl="2">
      <w:start w:val="1"/>
      <w:numFmt w:val="lowerRoman"/>
      <w:lvlText w:val="%3."/>
      <w:lvlJc w:val="right"/>
      <w:pPr>
        <w:ind w:left="3708" w:hanging="480"/>
      </w:pPr>
    </w:lvl>
    <w:lvl w:ilvl="3">
      <w:start w:val="1"/>
      <w:numFmt w:val="decimal"/>
      <w:lvlText w:val="%4."/>
      <w:lvlJc w:val="left"/>
      <w:pPr>
        <w:ind w:left="4188" w:hanging="480"/>
      </w:pPr>
    </w:lvl>
    <w:lvl w:ilvl="4">
      <w:start w:val="1"/>
      <w:numFmt w:val="ideographTraditional"/>
      <w:lvlText w:val="%5、"/>
      <w:lvlJc w:val="left"/>
      <w:pPr>
        <w:ind w:left="4668" w:hanging="480"/>
      </w:pPr>
    </w:lvl>
    <w:lvl w:ilvl="5">
      <w:start w:val="1"/>
      <w:numFmt w:val="lowerRoman"/>
      <w:lvlText w:val="%6."/>
      <w:lvlJc w:val="right"/>
      <w:pPr>
        <w:ind w:left="5148" w:hanging="480"/>
      </w:pPr>
    </w:lvl>
    <w:lvl w:ilvl="6">
      <w:start w:val="1"/>
      <w:numFmt w:val="decimal"/>
      <w:lvlText w:val="%7."/>
      <w:lvlJc w:val="left"/>
      <w:pPr>
        <w:ind w:left="5628" w:hanging="480"/>
      </w:pPr>
    </w:lvl>
    <w:lvl w:ilvl="7">
      <w:start w:val="1"/>
      <w:numFmt w:val="ideographTraditional"/>
      <w:lvlText w:val="%8、"/>
      <w:lvlJc w:val="left"/>
      <w:pPr>
        <w:ind w:left="6108" w:hanging="480"/>
      </w:pPr>
    </w:lvl>
    <w:lvl w:ilvl="8">
      <w:start w:val="1"/>
      <w:numFmt w:val="lowerRoman"/>
      <w:lvlText w:val="%9."/>
      <w:lvlJc w:val="right"/>
      <w:pPr>
        <w:ind w:left="6588" w:hanging="480"/>
      </w:pPr>
    </w:lvl>
  </w:abstractNum>
  <w:abstractNum w:abstractNumId="13" w15:restartNumberingAfterBreak="0">
    <w:nsid w:val="20370300"/>
    <w:multiLevelType w:val="multilevel"/>
    <w:tmpl w:val="8D684720"/>
    <w:lvl w:ilvl="0">
      <w:start w:val="1"/>
      <w:numFmt w:val="decimal"/>
      <w:lvlText w:val="(%1)"/>
      <w:lvlJc w:val="left"/>
      <w:pPr>
        <w:ind w:left="2748" w:hanging="480"/>
      </w:pPr>
      <w:rPr>
        <w:b w:val="0"/>
        <w:strike w:val="0"/>
        <w:dstrike w:val="0"/>
        <w:vanish w:val="0"/>
        <w:color w:val="auto"/>
        <w:position w:val="0"/>
        <w:sz w:val="24"/>
        <w:szCs w:val="24"/>
        <w:vertAlign w:val="baseline"/>
      </w:rPr>
    </w:lvl>
    <w:lvl w:ilvl="1">
      <w:start w:val="1"/>
      <w:numFmt w:val="ideographTraditional"/>
      <w:lvlText w:val="%2、"/>
      <w:lvlJc w:val="left"/>
      <w:pPr>
        <w:ind w:left="3228" w:hanging="480"/>
      </w:pPr>
    </w:lvl>
    <w:lvl w:ilvl="2">
      <w:start w:val="1"/>
      <w:numFmt w:val="lowerRoman"/>
      <w:lvlText w:val="%3."/>
      <w:lvlJc w:val="right"/>
      <w:pPr>
        <w:ind w:left="3708" w:hanging="480"/>
      </w:pPr>
    </w:lvl>
    <w:lvl w:ilvl="3">
      <w:start w:val="1"/>
      <w:numFmt w:val="decimal"/>
      <w:lvlText w:val="%4."/>
      <w:lvlJc w:val="left"/>
      <w:pPr>
        <w:ind w:left="4188" w:hanging="480"/>
      </w:pPr>
    </w:lvl>
    <w:lvl w:ilvl="4">
      <w:start w:val="1"/>
      <w:numFmt w:val="ideographTraditional"/>
      <w:lvlText w:val="%5、"/>
      <w:lvlJc w:val="left"/>
      <w:pPr>
        <w:ind w:left="4668" w:hanging="480"/>
      </w:pPr>
    </w:lvl>
    <w:lvl w:ilvl="5">
      <w:start w:val="1"/>
      <w:numFmt w:val="lowerRoman"/>
      <w:lvlText w:val="%6."/>
      <w:lvlJc w:val="right"/>
      <w:pPr>
        <w:ind w:left="5148" w:hanging="480"/>
      </w:pPr>
    </w:lvl>
    <w:lvl w:ilvl="6">
      <w:start w:val="1"/>
      <w:numFmt w:val="decimal"/>
      <w:lvlText w:val="%7."/>
      <w:lvlJc w:val="left"/>
      <w:pPr>
        <w:ind w:left="5628" w:hanging="480"/>
      </w:pPr>
    </w:lvl>
    <w:lvl w:ilvl="7">
      <w:start w:val="1"/>
      <w:numFmt w:val="ideographTraditional"/>
      <w:lvlText w:val="%8、"/>
      <w:lvlJc w:val="left"/>
      <w:pPr>
        <w:ind w:left="6108" w:hanging="480"/>
      </w:pPr>
    </w:lvl>
    <w:lvl w:ilvl="8">
      <w:start w:val="1"/>
      <w:numFmt w:val="lowerRoman"/>
      <w:lvlText w:val="%9."/>
      <w:lvlJc w:val="right"/>
      <w:pPr>
        <w:ind w:left="6588" w:hanging="480"/>
      </w:pPr>
    </w:lvl>
  </w:abstractNum>
  <w:abstractNum w:abstractNumId="14" w15:restartNumberingAfterBreak="0">
    <w:nsid w:val="24870407"/>
    <w:multiLevelType w:val="multilevel"/>
    <w:tmpl w:val="425E615C"/>
    <w:lvl w:ilvl="0">
      <w:start w:val="1"/>
      <w:numFmt w:val="decimal"/>
      <w:lvlText w:val="%1."/>
      <w:lvlJc w:val="left"/>
      <w:pPr>
        <w:ind w:left="2748" w:hanging="480"/>
      </w:pPr>
      <w:rPr>
        <w:rFonts w:ascii="標楷體" w:eastAsia="標楷體" w:hAnsi="標楷體" w:cs="Times New Roman"/>
      </w:rPr>
    </w:lvl>
    <w:lvl w:ilvl="1">
      <w:start w:val="1"/>
      <w:numFmt w:val="ideographTraditional"/>
      <w:lvlText w:val="%2、"/>
      <w:lvlJc w:val="left"/>
      <w:pPr>
        <w:ind w:left="3228" w:hanging="480"/>
      </w:pPr>
    </w:lvl>
    <w:lvl w:ilvl="2">
      <w:start w:val="1"/>
      <w:numFmt w:val="lowerRoman"/>
      <w:lvlText w:val="%3."/>
      <w:lvlJc w:val="right"/>
      <w:pPr>
        <w:ind w:left="3708" w:hanging="480"/>
      </w:pPr>
    </w:lvl>
    <w:lvl w:ilvl="3">
      <w:start w:val="1"/>
      <w:numFmt w:val="decimal"/>
      <w:lvlText w:val="%4."/>
      <w:lvlJc w:val="left"/>
      <w:pPr>
        <w:ind w:left="4188" w:hanging="480"/>
      </w:pPr>
    </w:lvl>
    <w:lvl w:ilvl="4">
      <w:start w:val="1"/>
      <w:numFmt w:val="ideographTraditional"/>
      <w:lvlText w:val="%5、"/>
      <w:lvlJc w:val="left"/>
      <w:pPr>
        <w:ind w:left="4668" w:hanging="480"/>
      </w:pPr>
    </w:lvl>
    <w:lvl w:ilvl="5">
      <w:start w:val="1"/>
      <w:numFmt w:val="lowerRoman"/>
      <w:lvlText w:val="%6."/>
      <w:lvlJc w:val="right"/>
      <w:pPr>
        <w:ind w:left="5148" w:hanging="480"/>
      </w:pPr>
    </w:lvl>
    <w:lvl w:ilvl="6">
      <w:start w:val="1"/>
      <w:numFmt w:val="decimal"/>
      <w:lvlText w:val="%7."/>
      <w:lvlJc w:val="left"/>
      <w:pPr>
        <w:ind w:left="5628" w:hanging="480"/>
      </w:pPr>
    </w:lvl>
    <w:lvl w:ilvl="7">
      <w:start w:val="1"/>
      <w:numFmt w:val="ideographTraditional"/>
      <w:lvlText w:val="%8、"/>
      <w:lvlJc w:val="left"/>
      <w:pPr>
        <w:ind w:left="6108" w:hanging="480"/>
      </w:pPr>
    </w:lvl>
    <w:lvl w:ilvl="8">
      <w:start w:val="1"/>
      <w:numFmt w:val="lowerRoman"/>
      <w:lvlText w:val="%9."/>
      <w:lvlJc w:val="right"/>
      <w:pPr>
        <w:ind w:left="6588" w:hanging="480"/>
      </w:pPr>
    </w:lvl>
  </w:abstractNum>
  <w:abstractNum w:abstractNumId="15" w15:restartNumberingAfterBreak="0">
    <w:nsid w:val="298C262A"/>
    <w:multiLevelType w:val="multilevel"/>
    <w:tmpl w:val="C6CAE9D6"/>
    <w:lvl w:ilvl="0">
      <w:start w:val="1"/>
      <w:numFmt w:val="taiwaneseCountingThousand"/>
      <w:lvlText w:val="(%1)"/>
      <w:lvlJc w:val="left"/>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16" w15:restartNumberingAfterBreak="0">
    <w:nsid w:val="2B633A47"/>
    <w:multiLevelType w:val="multilevel"/>
    <w:tmpl w:val="DF6CD616"/>
    <w:lvl w:ilvl="0">
      <w:start w:val="1"/>
      <w:numFmt w:val="decimal"/>
      <w:lvlText w:val="%1."/>
      <w:lvlJc w:val="left"/>
      <w:pPr>
        <w:ind w:left="2748" w:hanging="480"/>
      </w:pPr>
      <w:rPr>
        <w:rFonts w:ascii="標楷體" w:eastAsia="標楷體" w:hAnsi="標楷體" w:cs="Times New Roman"/>
      </w:rPr>
    </w:lvl>
    <w:lvl w:ilvl="1">
      <w:start w:val="1"/>
      <w:numFmt w:val="ideographTraditional"/>
      <w:lvlText w:val="%2、"/>
      <w:lvlJc w:val="left"/>
      <w:pPr>
        <w:ind w:left="3228" w:hanging="480"/>
      </w:pPr>
    </w:lvl>
    <w:lvl w:ilvl="2">
      <w:start w:val="1"/>
      <w:numFmt w:val="lowerRoman"/>
      <w:lvlText w:val="%3."/>
      <w:lvlJc w:val="right"/>
      <w:pPr>
        <w:ind w:left="3708" w:hanging="480"/>
      </w:pPr>
    </w:lvl>
    <w:lvl w:ilvl="3">
      <w:start w:val="1"/>
      <w:numFmt w:val="decimal"/>
      <w:lvlText w:val="%4."/>
      <w:lvlJc w:val="left"/>
      <w:pPr>
        <w:ind w:left="4188" w:hanging="480"/>
      </w:pPr>
    </w:lvl>
    <w:lvl w:ilvl="4">
      <w:start w:val="1"/>
      <w:numFmt w:val="ideographTraditional"/>
      <w:lvlText w:val="%5、"/>
      <w:lvlJc w:val="left"/>
      <w:pPr>
        <w:ind w:left="4668" w:hanging="480"/>
      </w:pPr>
    </w:lvl>
    <w:lvl w:ilvl="5">
      <w:start w:val="1"/>
      <w:numFmt w:val="lowerRoman"/>
      <w:lvlText w:val="%6."/>
      <w:lvlJc w:val="right"/>
      <w:pPr>
        <w:ind w:left="5148" w:hanging="480"/>
      </w:pPr>
    </w:lvl>
    <w:lvl w:ilvl="6">
      <w:start w:val="1"/>
      <w:numFmt w:val="decimal"/>
      <w:lvlText w:val="%7."/>
      <w:lvlJc w:val="left"/>
      <w:pPr>
        <w:ind w:left="5628" w:hanging="480"/>
      </w:pPr>
    </w:lvl>
    <w:lvl w:ilvl="7">
      <w:start w:val="1"/>
      <w:numFmt w:val="ideographTraditional"/>
      <w:lvlText w:val="%8、"/>
      <w:lvlJc w:val="left"/>
      <w:pPr>
        <w:ind w:left="6108" w:hanging="480"/>
      </w:pPr>
    </w:lvl>
    <w:lvl w:ilvl="8">
      <w:start w:val="1"/>
      <w:numFmt w:val="lowerRoman"/>
      <w:lvlText w:val="%9."/>
      <w:lvlJc w:val="right"/>
      <w:pPr>
        <w:ind w:left="6588" w:hanging="480"/>
      </w:pPr>
    </w:lvl>
  </w:abstractNum>
  <w:abstractNum w:abstractNumId="17" w15:restartNumberingAfterBreak="0">
    <w:nsid w:val="2B7C6304"/>
    <w:multiLevelType w:val="multilevel"/>
    <w:tmpl w:val="9D30CB5C"/>
    <w:lvl w:ilvl="0">
      <w:start w:val="1"/>
      <w:numFmt w:val="decimal"/>
      <w:lvlText w:val="(%1)"/>
      <w:lvlJc w:val="left"/>
      <w:pPr>
        <w:ind w:left="2748" w:hanging="480"/>
      </w:pPr>
      <w:rPr>
        <w:b w:val="0"/>
        <w:strike w:val="0"/>
        <w:dstrike w:val="0"/>
        <w:vanish w:val="0"/>
        <w:color w:val="auto"/>
        <w:position w:val="0"/>
        <w:sz w:val="24"/>
        <w:szCs w:val="24"/>
        <w:vertAlign w:val="baseline"/>
      </w:rPr>
    </w:lvl>
    <w:lvl w:ilvl="1">
      <w:start w:val="1"/>
      <w:numFmt w:val="ideographTraditional"/>
      <w:lvlText w:val="%2、"/>
      <w:lvlJc w:val="left"/>
      <w:pPr>
        <w:ind w:left="3228" w:hanging="480"/>
      </w:pPr>
    </w:lvl>
    <w:lvl w:ilvl="2">
      <w:start w:val="1"/>
      <w:numFmt w:val="lowerRoman"/>
      <w:lvlText w:val="%3."/>
      <w:lvlJc w:val="right"/>
      <w:pPr>
        <w:ind w:left="3708" w:hanging="480"/>
      </w:pPr>
    </w:lvl>
    <w:lvl w:ilvl="3">
      <w:start w:val="1"/>
      <w:numFmt w:val="decimal"/>
      <w:lvlText w:val="%4."/>
      <w:lvlJc w:val="left"/>
      <w:pPr>
        <w:ind w:left="4188" w:hanging="480"/>
      </w:pPr>
    </w:lvl>
    <w:lvl w:ilvl="4">
      <w:start w:val="1"/>
      <w:numFmt w:val="ideographTraditional"/>
      <w:lvlText w:val="%5、"/>
      <w:lvlJc w:val="left"/>
      <w:pPr>
        <w:ind w:left="4668" w:hanging="480"/>
      </w:pPr>
    </w:lvl>
    <w:lvl w:ilvl="5">
      <w:start w:val="1"/>
      <w:numFmt w:val="lowerRoman"/>
      <w:lvlText w:val="%6."/>
      <w:lvlJc w:val="right"/>
      <w:pPr>
        <w:ind w:left="5148" w:hanging="480"/>
      </w:pPr>
    </w:lvl>
    <w:lvl w:ilvl="6">
      <w:start w:val="1"/>
      <w:numFmt w:val="decimal"/>
      <w:lvlText w:val="%7."/>
      <w:lvlJc w:val="left"/>
      <w:pPr>
        <w:ind w:left="5628" w:hanging="480"/>
      </w:pPr>
    </w:lvl>
    <w:lvl w:ilvl="7">
      <w:start w:val="1"/>
      <w:numFmt w:val="ideographTraditional"/>
      <w:lvlText w:val="%8、"/>
      <w:lvlJc w:val="left"/>
      <w:pPr>
        <w:ind w:left="6108" w:hanging="480"/>
      </w:pPr>
    </w:lvl>
    <w:lvl w:ilvl="8">
      <w:start w:val="1"/>
      <w:numFmt w:val="lowerRoman"/>
      <w:lvlText w:val="%9."/>
      <w:lvlJc w:val="right"/>
      <w:pPr>
        <w:ind w:left="6588" w:hanging="480"/>
      </w:pPr>
    </w:lvl>
  </w:abstractNum>
  <w:abstractNum w:abstractNumId="18" w15:restartNumberingAfterBreak="0">
    <w:nsid w:val="2DD86FEB"/>
    <w:multiLevelType w:val="multilevel"/>
    <w:tmpl w:val="92205232"/>
    <w:lvl w:ilvl="0">
      <w:start w:val="1"/>
      <w:numFmt w:val="taiwaneseCountingThousand"/>
      <w:lvlText w:val="(%1)"/>
      <w:lvlJc w:val="left"/>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19" w15:restartNumberingAfterBreak="0">
    <w:nsid w:val="2EDA1787"/>
    <w:multiLevelType w:val="multilevel"/>
    <w:tmpl w:val="BA5C1056"/>
    <w:lvl w:ilvl="0">
      <w:start w:val="1"/>
      <w:numFmt w:val="decimal"/>
      <w:lvlText w:val="%1."/>
      <w:lvlJc w:val="left"/>
      <w:pPr>
        <w:ind w:left="2748" w:hanging="480"/>
      </w:pPr>
      <w:rPr>
        <w:rFonts w:ascii="標楷體" w:eastAsia="標楷體" w:hAnsi="標楷體" w:cs="Times New Roman"/>
      </w:rPr>
    </w:lvl>
    <w:lvl w:ilvl="1">
      <w:start w:val="1"/>
      <w:numFmt w:val="ideographTraditional"/>
      <w:lvlText w:val="%2、"/>
      <w:lvlJc w:val="left"/>
      <w:pPr>
        <w:ind w:left="3228" w:hanging="480"/>
      </w:pPr>
    </w:lvl>
    <w:lvl w:ilvl="2">
      <w:start w:val="1"/>
      <w:numFmt w:val="lowerRoman"/>
      <w:lvlText w:val="%3."/>
      <w:lvlJc w:val="right"/>
      <w:pPr>
        <w:ind w:left="3708" w:hanging="480"/>
      </w:pPr>
    </w:lvl>
    <w:lvl w:ilvl="3">
      <w:start w:val="1"/>
      <w:numFmt w:val="decimal"/>
      <w:lvlText w:val="%4."/>
      <w:lvlJc w:val="left"/>
      <w:pPr>
        <w:ind w:left="4188" w:hanging="480"/>
      </w:pPr>
    </w:lvl>
    <w:lvl w:ilvl="4">
      <w:start w:val="1"/>
      <w:numFmt w:val="ideographTraditional"/>
      <w:lvlText w:val="%5、"/>
      <w:lvlJc w:val="left"/>
      <w:pPr>
        <w:ind w:left="4668" w:hanging="480"/>
      </w:pPr>
    </w:lvl>
    <w:lvl w:ilvl="5">
      <w:start w:val="1"/>
      <w:numFmt w:val="lowerRoman"/>
      <w:lvlText w:val="%6."/>
      <w:lvlJc w:val="right"/>
      <w:pPr>
        <w:ind w:left="5148" w:hanging="480"/>
      </w:pPr>
    </w:lvl>
    <w:lvl w:ilvl="6">
      <w:start w:val="1"/>
      <w:numFmt w:val="decimal"/>
      <w:lvlText w:val="%7."/>
      <w:lvlJc w:val="left"/>
      <w:pPr>
        <w:ind w:left="5628" w:hanging="480"/>
      </w:pPr>
    </w:lvl>
    <w:lvl w:ilvl="7">
      <w:start w:val="1"/>
      <w:numFmt w:val="ideographTraditional"/>
      <w:lvlText w:val="%8、"/>
      <w:lvlJc w:val="left"/>
      <w:pPr>
        <w:ind w:left="6108" w:hanging="480"/>
      </w:pPr>
    </w:lvl>
    <w:lvl w:ilvl="8">
      <w:start w:val="1"/>
      <w:numFmt w:val="lowerRoman"/>
      <w:lvlText w:val="%9."/>
      <w:lvlJc w:val="right"/>
      <w:pPr>
        <w:ind w:left="6588" w:hanging="480"/>
      </w:pPr>
    </w:lvl>
  </w:abstractNum>
  <w:abstractNum w:abstractNumId="20" w15:restartNumberingAfterBreak="0">
    <w:nsid w:val="2F9E7761"/>
    <w:multiLevelType w:val="multilevel"/>
    <w:tmpl w:val="26145362"/>
    <w:lvl w:ilvl="0">
      <w:start w:val="1"/>
      <w:numFmt w:val="taiwaneseCountingThousand"/>
      <w:lvlText w:val="(%1)"/>
      <w:lvlJc w:val="left"/>
      <w:pPr>
        <w:ind w:left="445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21" w15:restartNumberingAfterBreak="0">
    <w:nsid w:val="2FAF0A83"/>
    <w:multiLevelType w:val="multilevel"/>
    <w:tmpl w:val="E5048540"/>
    <w:lvl w:ilvl="0">
      <w:start w:val="1"/>
      <w:numFmt w:val="decimal"/>
      <w:lvlText w:val="(%1)"/>
      <w:lvlJc w:val="left"/>
      <w:pPr>
        <w:ind w:left="3108" w:hanging="360"/>
      </w:pPr>
    </w:lvl>
    <w:lvl w:ilvl="1">
      <w:start w:val="1"/>
      <w:numFmt w:val="ideographTraditional"/>
      <w:lvlText w:val="%2、"/>
      <w:lvlJc w:val="left"/>
      <w:pPr>
        <w:ind w:left="3708" w:hanging="480"/>
      </w:pPr>
    </w:lvl>
    <w:lvl w:ilvl="2">
      <w:start w:val="1"/>
      <w:numFmt w:val="lowerRoman"/>
      <w:lvlText w:val="%3."/>
      <w:lvlJc w:val="right"/>
      <w:pPr>
        <w:ind w:left="4188" w:hanging="480"/>
      </w:pPr>
    </w:lvl>
    <w:lvl w:ilvl="3">
      <w:start w:val="1"/>
      <w:numFmt w:val="decimal"/>
      <w:lvlText w:val="%4."/>
      <w:lvlJc w:val="left"/>
      <w:pPr>
        <w:ind w:left="4668" w:hanging="480"/>
      </w:pPr>
    </w:lvl>
    <w:lvl w:ilvl="4">
      <w:start w:val="1"/>
      <w:numFmt w:val="ideographTraditional"/>
      <w:lvlText w:val="%5、"/>
      <w:lvlJc w:val="left"/>
      <w:pPr>
        <w:ind w:left="5148" w:hanging="480"/>
      </w:pPr>
    </w:lvl>
    <w:lvl w:ilvl="5">
      <w:start w:val="1"/>
      <w:numFmt w:val="lowerRoman"/>
      <w:lvlText w:val="%6."/>
      <w:lvlJc w:val="right"/>
      <w:pPr>
        <w:ind w:left="5628" w:hanging="480"/>
      </w:pPr>
    </w:lvl>
    <w:lvl w:ilvl="6">
      <w:start w:val="1"/>
      <w:numFmt w:val="decimal"/>
      <w:lvlText w:val="%7."/>
      <w:lvlJc w:val="left"/>
      <w:pPr>
        <w:ind w:left="6108" w:hanging="480"/>
      </w:pPr>
    </w:lvl>
    <w:lvl w:ilvl="7">
      <w:start w:val="1"/>
      <w:numFmt w:val="ideographTraditional"/>
      <w:lvlText w:val="%8、"/>
      <w:lvlJc w:val="left"/>
      <w:pPr>
        <w:ind w:left="6588" w:hanging="480"/>
      </w:pPr>
    </w:lvl>
    <w:lvl w:ilvl="8">
      <w:start w:val="1"/>
      <w:numFmt w:val="lowerRoman"/>
      <w:lvlText w:val="%9."/>
      <w:lvlJc w:val="right"/>
      <w:pPr>
        <w:ind w:left="7068" w:hanging="480"/>
      </w:pPr>
    </w:lvl>
  </w:abstractNum>
  <w:abstractNum w:abstractNumId="22" w15:restartNumberingAfterBreak="0">
    <w:nsid w:val="315D046A"/>
    <w:multiLevelType w:val="multilevel"/>
    <w:tmpl w:val="0FBA9628"/>
    <w:lvl w:ilvl="0">
      <w:start w:val="1"/>
      <w:numFmt w:val="decimal"/>
      <w:lvlText w:val="%1."/>
      <w:lvlJc w:val="left"/>
      <w:pPr>
        <w:ind w:left="2748" w:hanging="480"/>
      </w:pPr>
      <w:rPr>
        <w:rFonts w:ascii="標楷體" w:eastAsia="標楷體" w:hAnsi="標楷體" w:cs="Times New Roman"/>
      </w:rPr>
    </w:lvl>
    <w:lvl w:ilvl="1">
      <w:start w:val="1"/>
      <w:numFmt w:val="ideographTraditional"/>
      <w:lvlText w:val="%2、"/>
      <w:lvlJc w:val="left"/>
      <w:pPr>
        <w:ind w:left="3228" w:hanging="480"/>
      </w:pPr>
    </w:lvl>
    <w:lvl w:ilvl="2">
      <w:start w:val="1"/>
      <w:numFmt w:val="lowerRoman"/>
      <w:lvlText w:val="%3."/>
      <w:lvlJc w:val="right"/>
      <w:pPr>
        <w:ind w:left="3708" w:hanging="480"/>
      </w:pPr>
    </w:lvl>
    <w:lvl w:ilvl="3">
      <w:start w:val="1"/>
      <w:numFmt w:val="decimal"/>
      <w:lvlText w:val="%4."/>
      <w:lvlJc w:val="left"/>
      <w:pPr>
        <w:ind w:left="4188" w:hanging="480"/>
      </w:pPr>
    </w:lvl>
    <w:lvl w:ilvl="4">
      <w:start w:val="1"/>
      <w:numFmt w:val="ideographTraditional"/>
      <w:lvlText w:val="%5、"/>
      <w:lvlJc w:val="left"/>
      <w:pPr>
        <w:ind w:left="4668" w:hanging="480"/>
      </w:pPr>
    </w:lvl>
    <w:lvl w:ilvl="5">
      <w:start w:val="1"/>
      <w:numFmt w:val="lowerRoman"/>
      <w:lvlText w:val="%6."/>
      <w:lvlJc w:val="right"/>
      <w:pPr>
        <w:ind w:left="5148" w:hanging="480"/>
      </w:pPr>
    </w:lvl>
    <w:lvl w:ilvl="6">
      <w:start w:val="1"/>
      <w:numFmt w:val="decimal"/>
      <w:lvlText w:val="%7."/>
      <w:lvlJc w:val="left"/>
      <w:pPr>
        <w:ind w:left="5628" w:hanging="480"/>
      </w:pPr>
    </w:lvl>
    <w:lvl w:ilvl="7">
      <w:start w:val="1"/>
      <w:numFmt w:val="ideographTraditional"/>
      <w:lvlText w:val="%8、"/>
      <w:lvlJc w:val="left"/>
      <w:pPr>
        <w:ind w:left="6108" w:hanging="480"/>
      </w:pPr>
    </w:lvl>
    <w:lvl w:ilvl="8">
      <w:start w:val="1"/>
      <w:numFmt w:val="lowerRoman"/>
      <w:lvlText w:val="%9."/>
      <w:lvlJc w:val="right"/>
      <w:pPr>
        <w:ind w:left="6588" w:hanging="480"/>
      </w:pPr>
    </w:lvl>
  </w:abstractNum>
  <w:abstractNum w:abstractNumId="23" w15:restartNumberingAfterBreak="0">
    <w:nsid w:val="395F30E6"/>
    <w:multiLevelType w:val="multilevel"/>
    <w:tmpl w:val="5A084AAC"/>
    <w:lvl w:ilvl="0">
      <w:start w:val="1"/>
      <w:numFmt w:val="taiwaneseCountingThousand"/>
      <w:lvlText w:val="(%1)"/>
      <w:lvlJc w:val="left"/>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24" w15:restartNumberingAfterBreak="0">
    <w:nsid w:val="3BCE7FB0"/>
    <w:multiLevelType w:val="multilevel"/>
    <w:tmpl w:val="C79E6EB2"/>
    <w:styleLink w:val="LFO7"/>
    <w:lvl w:ilvl="0">
      <w:start w:val="1"/>
      <w:numFmt w:val="decimal"/>
      <w:pStyle w:val="151"/>
      <w:lvlText w:val="14.%1"/>
      <w:lvlJc w:val="left"/>
      <w:pPr>
        <w:ind w:left="510" w:hanging="510"/>
      </w:pPr>
    </w:lvl>
    <w:lvl w:ilvl="1">
      <w:start w:val="1"/>
      <w:numFmt w:val="decimal"/>
      <w:lvlText w:val="%2."/>
      <w:lvlJc w:val="left"/>
      <w:pPr>
        <w:ind w:left="794" w:hanging="314"/>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3ED23397"/>
    <w:multiLevelType w:val="multilevel"/>
    <w:tmpl w:val="BA467E9E"/>
    <w:lvl w:ilvl="0">
      <w:start w:val="1"/>
      <w:numFmt w:val="decimal"/>
      <w:lvlText w:val="%1."/>
      <w:lvlJc w:val="left"/>
      <w:pPr>
        <w:ind w:left="2748" w:hanging="480"/>
      </w:pPr>
      <w:rPr>
        <w:rFonts w:ascii="標楷體" w:eastAsia="標楷體" w:hAnsi="標楷體" w:cs="Times New Roman"/>
      </w:rPr>
    </w:lvl>
    <w:lvl w:ilvl="1">
      <w:start w:val="1"/>
      <w:numFmt w:val="ideographTraditional"/>
      <w:lvlText w:val="%2、"/>
      <w:lvlJc w:val="left"/>
      <w:pPr>
        <w:ind w:left="3228" w:hanging="480"/>
      </w:pPr>
    </w:lvl>
    <w:lvl w:ilvl="2">
      <w:start w:val="1"/>
      <w:numFmt w:val="lowerRoman"/>
      <w:lvlText w:val="%3."/>
      <w:lvlJc w:val="right"/>
      <w:pPr>
        <w:ind w:left="3708" w:hanging="480"/>
      </w:pPr>
    </w:lvl>
    <w:lvl w:ilvl="3">
      <w:start w:val="1"/>
      <w:numFmt w:val="decimal"/>
      <w:lvlText w:val="%4."/>
      <w:lvlJc w:val="left"/>
      <w:pPr>
        <w:ind w:left="4188" w:hanging="480"/>
      </w:pPr>
    </w:lvl>
    <w:lvl w:ilvl="4">
      <w:start w:val="1"/>
      <w:numFmt w:val="ideographTraditional"/>
      <w:lvlText w:val="%5、"/>
      <w:lvlJc w:val="left"/>
      <w:pPr>
        <w:ind w:left="4668" w:hanging="480"/>
      </w:pPr>
    </w:lvl>
    <w:lvl w:ilvl="5">
      <w:start w:val="1"/>
      <w:numFmt w:val="lowerRoman"/>
      <w:lvlText w:val="%6."/>
      <w:lvlJc w:val="right"/>
      <w:pPr>
        <w:ind w:left="5148" w:hanging="480"/>
      </w:pPr>
    </w:lvl>
    <w:lvl w:ilvl="6">
      <w:start w:val="1"/>
      <w:numFmt w:val="decimal"/>
      <w:lvlText w:val="%7."/>
      <w:lvlJc w:val="left"/>
      <w:pPr>
        <w:ind w:left="5628" w:hanging="480"/>
      </w:pPr>
    </w:lvl>
    <w:lvl w:ilvl="7">
      <w:start w:val="1"/>
      <w:numFmt w:val="ideographTraditional"/>
      <w:lvlText w:val="%8、"/>
      <w:lvlJc w:val="left"/>
      <w:pPr>
        <w:ind w:left="6108" w:hanging="480"/>
      </w:pPr>
    </w:lvl>
    <w:lvl w:ilvl="8">
      <w:start w:val="1"/>
      <w:numFmt w:val="lowerRoman"/>
      <w:lvlText w:val="%9."/>
      <w:lvlJc w:val="right"/>
      <w:pPr>
        <w:ind w:left="6588" w:hanging="480"/>
      </w:pPr>
    </w:lvl>
  </w:abstractNum>
  <w:abstractNum w:abstractNumId="26" w15:restartNumberingAfterBreak="0">
    <w:nsid w:val="3FAD228B"/>
    <w:multiLevelType w:val="multilevel"/>
    <w:tmpl w:val="C35ACFB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452F5894"/>
    <w:multiLevelType w:val="multilevel"/>
    <w:tmpl w:val="E26CC358"/>
    <w:lvl w:ilvl="0">
      <w:start w:val="1"/>
      <w:numFmt w:val="taiwaneseCountingThousand"/>
      <w:lvlText w:val="(%1)"/>
      <w:lvlJc w:val="left"/>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28" w15:restartNumberingAfterBreak="0">
    <w:nsid w:val="46347598"/>
    <w:multiLevelType w:val="multilevel"/>
    <w:tmpl w:val="2AB4CA78"/>
    <w:lvl w:ilvl="0">
      <w:start w:val="1"/>
      <w:numFmt w:val="taiwaneseCountingThousand"/>
      <w:lvlText w:val="(%1)"/>
      <w:lvlJc w:val="left"/>
      <w:pPr>
        <w:ind w:left="2466" w:hanging="480"/>
      </w:pPr>
    </w:lvl>
    <w:lvl w:ilvl="1">
      <w:start w:val="1"/>
      <w:numFmt w:val="ideographTraditional"/>
      <w:lvlText w:val="%2、"/>
      <w:lvlJc w:val="left"/>
      <w:pPr>
        <w:ind w:left="2946" w:hanging="480"/>
      </w:pPr>
    </w:lvl>
    <w:lvl w:ilvl="2">
      <w:start w:val="1"/>
      <w:numFmt w:val="lowerRoman"/>
      <w:lvlText w:val="%3."/>
      <w:lvlJc w:val="right"/>
      <w:pPr>
        <w:ind w:left="3426" w:hanging="480"/>
      </w:pPr>
    </w:lvl>
    <w:lvl w:ilvl="3">
      <w:start w:val="1"/>
      <w:numFmt w:val="decimal"/>
      <w:lvlText w:val="%4."/>
      <w:lvlJc w:val="left"/>
      <w:pPr>
        <w:ind w:left="3906" w:hanging="480"/>
      </w:pPr>
    </w:lvl>
    <w:lvl w:ilvl="4">
      <w:start w:val="1"/>
      <w:numFmt w:val="ideographTraditional"/>
      <w:lvlText w:val="%5、"/>
      <w:lvlJc w:val="left"/>
      <w:pPr>
        <w:ind w:left="4386" w:hanging="480"/>
      </w:pPr>
    </w:lvl>
    <w:lvl w:ilvl="5">
      <w:start w:val="1"/>
      <w:numFmt w:val="lowerRoman"/>
      <w:lvlText w:val="%6."/>
      <w:lvlJc w:val="right"/>
      <w:pPr>
        <w:ind w:left="4866" w:hanging="480"/>
      </w:pPr>
    </w:lvl>
    <w:lvl w:ilvl="6">
      <w:start w:val="1"/>
      <w:numFmt w:val="decimal"/>
      <w:lvlText w:val="%7."/>
      <w:lvlJc w:val="left"/>
      <w:pPr>
        <w:ind w:left="5346" w:hanging="480"/>
      </w:pPr>
    </w:lvl>
    <w:lvl w:ilvl="7">
      <w:start w:val="1"/>
      <w:numFmt w:val="ideographTraditional"/>
      <w:lvlText w:val="%8、"/>
      <w:lvlJc w:val="left"/>
      <w:pPr>
        <w:ind w:left="5826" w:hanging="480"/>
      </w:pPr>
    </w:lvl>
    <w:lvl w:ilvl="8">
      <w:start w:val="1"/>
      <w:numFmt w:val="lowerRoman"/>
      <w:lvlText w:val="%9."/>
      <w:lvlJc w:val="right"/>
      <w:pPr>
        <w:ind w:left="6306" w:hanging="480"/>
      </w:pPr>
    </w:lvl>
  </w:abstractNum>
  <w:abstractNum w:abstractNumId="29" w15:restartNumberingAfterBreak="0">
    <w:nsid w:val="4D72657C"/>
    <w:multiLevelType w:val="multilevel"/>
    <w:tmpl w:val="4284360E"/>
    <w:styleLink w:val="a0"/>
    <w:lvl w:ilvl="0">
      <w:start w:val="1"/>
      <w:numFmt w:val="decimal"/>
      <w:lvlText w:val="%1."/>
      <w:lvlJc w:val="left"/>
      <w:pPr>
        <w:ind w:left="360" w:firstLine="774"/>
      </w:pPr>
      <w:rPr>
        <w:rFonts w:eastAsia="標楷體"/>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4FC16B3F"/>
    <w:multiLevelType w:val="multilevel"/>
    <w:tmpl w:val="20DC0B00"/>
    <w:lvl w:ilvl="0">
      <w:start w:val="1"/>
      <w:numFmt w:val="taiwaneseCountingThousand"/>
      <w:lvlText w:val="(%1)"/>
      <w:lvlJc w:val="left"/>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31" w15:restartNumberingAfterBreak="0">
    <w:nsid w:val="50230B83"/>
    <w:multiLevelType w:val="multilevel"/>
    <w:tmpl w:val="C8AE7A1A"/>
    <w:lvl w:ilvl="0">
      <w:start w:val="1"/>
      <w:numFmt w:val="decimal"/>
      <w:lvlText w:val="%1."/>
      <w:lvlJc w:val="left"/>
      <w:pPr>
        <w:ind w:left="2748" w:hanging="480"/>
      </w:pPr>
      <w:rPr>
        <w:rFonts w:ascii="標楷體" w:eastAsia="標楷體" w:hAnsi="標楷體" w:cs="Times New Roman"/>
      </w:rPr>
    </w:lvl>
    <w:lvl w:ilvl="1">
      <w:start w:val="1"/>
      <w:numFmt w:val="ideographTraditional"/>
      <w:lvlText w:val="%2、"/>
      <w:lvlJc w:val="left"/>
      <w:pPr>
        <w:ind w:left="3228" w:hanging="480"/>
      </w:pPr>
    </w:lvl>
    <w:lvl w:ilvl="2">
      <w:start w:val="1"/>
      <w:numFmt w:val="lowerRoman"/>
      <w:lvlText w:val="%3."/>
      <w:lvlJc w:val="right"/>
      <w:pPr>
        <w:ind w:left="3708" w:hanging="480"/>
      </w:pPr>
    </w:lvl>
    <w:lvl w:ilvl="3">
      <w:start w:val="1"/>
      <w:numFmt w:val="decimal"/>
      <w:lvlText w:val="%4."/>
      <w:lvlJc w:val="left"/>
      <w:pPr>
        <w:ind w:left="4188" w:hanging="480"/>
      </w:pPr>
    </w:lvl>
    <w:lvl w:ilvl="4">
      <w:start w:val="1"/>
      <w:numFmt w:val="ideographTraditional"/>
      <w:lvlText w:val="%5、"/>
      <w:lvlJc w:val="left"/>
      <w:pPr>
        <w:ind w:left="4668" w:hanging="480"/>
      </w:pPr>
    </w:lvl>
    <w:lvl w:ilvl="5">
      <w:start w:val="1"/>
      <w:numFmt w:val="lowerRoman"/>
      <w:lvlText w:val="%6."/>
      <w:lvlJc w:val="right"/>
      <w:pPr>
        <w:ind w:left="5148" w:hanging="480"/>
      </w:pPr>
    </w:lvl>
    <w:lvl w:ilvl="6">
      <w:start w:val="1"/>
      <w:numFmt w:val="decimal"/>
      <w:lvlText w:val="%7."/>
      <w:lvlJc w:val="left"/>
      <w:pPr>
        <w:ind w:left="5628" w:hanging="480"/>
      </w:pPr>
    </w:lvl>
    <w:lvl w:ilvl="7">
      <w:start w:val="1"/>
      <w:numFmt w:val="ideographTraditional"/>
      <w:lvlText w:val="%8、"/>
      <w:lvlJc w:val="left"/>
      <w:pPr>
        <w:ind w:left="6108" w:hanging="480"/>
      </w:pPr>
    </w:lvl>
    <w:lvl w:ilvl="8">
      <w:start w:val="1"/>
      <w:numFmt w:val="lowerRoman"/>
      <w:lvlText w:val="%9."/>
      <w:lvlJc w:val="right"/>
      <w:pPr>
        <w:ind w:left="6588" w:hanging="480"/>
      </w:pPr>
    </w:lvl>
  </w:abstractNum>
  <w:abstractNum w:abstractNumId="32" w15:restartNumberingAfterBreak="0">
    <w:nsid w:val="51003C58"/>
    <w:multiLevelType w:val="multilevel"/>
    <w:tmpl w:val="60FC0EC6"/>
    <w:lvl w:ilvl="0">
      <w:start w:val="1"/>
      <w:numFmt w:val="decimal"/>
      <w:lvlText w:val="(%1)"/>
      <w:lvlJc w:val="left"/>
      <w:pPr>
        <w:ind w:left="3315" w:hanging="480"/>
      </w:pPr>
      <w:rPr>
        <w:rFonts w:ascii="標楷體" w:eastAsia="標楷體" w:hAnsi="標楷體"/>
        <w:color w:val="auto"/>
      </w:rPr>
    </w:lvl>
    <w:lvl w:ilvl="1">
      <w:start w:val="1"/>
      <w:numFmt w:val="ideographTraditional"/>
      <w:lvlText w:val="%2、"/>
      <w:lvlJc w:val="left"/>
      <w:pPr>
        <w:ind w:left="3708" w:hanging="480"/>
      </w:pPr>
    </w:lvl>
    <w:lvl w:ilvl="2">
      <w:start w:val="1"/>
      <w:numFmt w:val="lowerRoman"/>
      <w:lvlText w:val="%3."/>
      <w:lvlJc w:val="right"/>
      <w:pPr>
        <w:ind w:left="4188" w:hanging="480"/>
      </w:pPr>
    </w:lvl>
    <w:lvl w:ilvl="3">
      <w:start w:val="1"/>
      <w:numFmt w:val="decimal"/>
      <w:lvlText w:val="%4."/>
      <w:lvlJc w:val="left"/>
      <w:pPr>
        <w:ind w:left="4668" w:hanging="480"/>
      </w:pPr>
    </w:lvl>
    <w:lvl w:ilvl="4">
      <w:start w:val="1"/>
      <w:numFmt w:val="ideographTraditional"/>
      <w:lvlText w:val="%5、"/>
      <w:lvlJc w:val="left"/>
      <w:pPr>
        <w:ind w:left="5148" w:hanging="480"/>
      </w:pPr>
    </w:lvl>
    <w:lvl w:ilvl="5">
      <w:start w:val="1"/>
      <w:numFmt w:val="lowerRoman"/>
      <w:lvlText w:val="%6."/>
      <w:lvlJc w:val="right"/>
      <w:pPr>
        <w:ind w:left="5628" w:hanging="480"/>
      </w:pPr>
    </w:lvl>
    <w:lvl w:ilvl="6">
      <w:start w:val="1"/>
      <w:numFmt w:val="decimal"/>
      <w:lvlText w:val="%7."/>
      <w:lvlJc w:val="left"/>
      <w:pPr>
        <w:ind w:left="6108" w:hanging="480"/>
      </w:pPr>
    </w:lvl>
    <w:lvl w:ilvl="7">
      <w:start w:val="1"/>
      <w:numFmt w:val="ideographTraditional"/>
      <w:lvlText w:val="%8、"/>
      <w:lvlJc w:val="left"/>
      <w:pPr>
        <w:ind w:left="6588" w:hanging="480"/>
      </w:pPr>
    </w:lvl>
    <w:lvl w:ilvl="8">
      <w:start w:val="1"/>
      <w:numFmt w:val="lowerRoman"/>
      <w:lvlText w:val="%9."/>
      <w:lvlJc w:val="right"/>
      <w:pPr>
        <w:ind w:left="7068" w:hanging="480"/>
      </w:pPr>
    </w:lvl>
  </w:abstractNum>
  <w:abstractNum w:abstractNumId="33" w15:restartNumberingAfterBreak="0">
    <w:nsid w:val="55E61EA3"/>
    <w:multiLevelType w:val="multilevel"/>
    <w:tmpl w:val="0608CFC2"/>
    <w:lvl w:ilvl="0">
      <w:start w:val="1"/>
      <w:numFmt w:val="decimal"/>
      <w:lvlText w:val="%1."/>
      <w:lvlJc w:val="left"/>
      <w:pPr>
        <w:ind w:left="2748" w:hanging="480"/>
      </w:pPr>
      <w:rPr>
        <w:rFonts w:ascii="標楷體" w:eastAsia="標楷體" w:hAnsi="標楷體" w:cs="Times New Roman"/>
      </w:rPr>
    </w:lvl>
    <w:lvl w:ilvl="1">
      <w:start w:val="1"/>
      <w:numFmt w:val="ideographTraditional"/>
      <w:lvlText w:val="%2、"/>
      <w:lvlJc w:val="left"/>
      <w:pPr>
        <w:ind w:left="3228" w:hanging="480"/>
      </w:pPr>
    </w:lvl>
    <w:lvl w:ilvl="2">
      <w:start w:val="1"/>
      <w:numFmt w:val="lowerRoman"/>
      <w:lvlText w:val="%3."/>
      <w:lvlJc w:val="right"/>
      <w:pPr>
        <w:ind w:left="3708" w:hanging="480"/>
      </w:pPr>
    </w:lvl>
    <w:lvl w:ilvl="3">
      <w:start w:val="1"/>
      <w:numFmt w:val="decimal"/>
      <w:lvlText w:val="%4."/>
      <w:lvlJc w:val="left"/>
      <w:pPr>
        <w:ind w:left="4188" w:hanging="480"/>
      </w:pPr>
    </w:lvl>
    <w:lvl w:ilvl="4">
      <w:start w:val="1"/>
      <w:numFmt w:val="ideographTraditional"/>
      <w:lvlText w:val="%5、"/>
      <w:lvlJc w:val="left"/>
      <w:pPr>
        <w:ind w:left="4668" w:hanging="480"/>
      </w:pPr>
    </w:lvl>
    <w:lvl w:ilvl="5">
      <w:start w:val="1"/>
      <w:numFmt w:val="lowerRoman"/>
      <w:lvlText w:val="%6."/>
      <w:lvlJc w:val="right"/>
      <w:pPr>
        <w:ind w:left="5148" w:hanging="480"/>
      </w:pPr>
    </w:lvl>
    <w:lvl w:ilvl="6">
      <w:start w:val="1"/>
      <w:numFmt w:val="decimal"/>
      <w:lvlText w:val="%7."/>
      <w:lvlJc w:val="left"/>
      <w:pPr>
        <w:ind w:left="5628" w:hanging="480"/>
      </w:pPr>
    </w:lvl>
    <w:lvl w:ilvl="7">
      <w:start w:val="1"/>
      <w:numFmt w:val="ideographTraditional"/>
      <w:lvlText w:val="%8、"/>
      <w:lvlJc w:val="left"/>
      <w:pPr>
        <w:ind w:left="6108" w:hanging="480"/>
      </w:pPr>
    </w:lvl>
    <w:lvl w:ilvl="8">
      <w:start w:val="1"/>
      <w:numFmt w:val="lowerRoman"/>
      <w:lvlText w:val="%9."/>
      <w:lvlJc w:val="right"/>
      <w:pPr>
        <w:ind w:left="6588" w:hanging="480"/>
      </w:pPr>
    </w:lvl>
  </w:abstractNum>
  <w:abstractNum w:abstractNumId="34" w15:restartNumberingAfterBreak="0">
    <w:nsid w:val="5870101D"/>
    <w:multiLevelType w:val="multilevel"/>
    <w:tmpl w:val="AA96A610"/>
    <w:lvl w:ilvl="0">
      <w:start w:val="1"/>
      <w:numFmt w:val="taiwaneseCountingThousand"/>
      <w:lvlText w:val="(%1)"/>
      <w:lvlJc w:val="left"/>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35" w15:restartNumberingAfterBreak="0">
    <w:nsid w:val="58BF7147"/>
    <w:multiLevelType w:val="multilevel"/>
    <w:tmpl w:val="0750F8DA"/>
    <w:styleLink w:val="LFO6"/>
    <w:lvl w:ilvl="0">
      <w:start w:val="1"/>
      <w:numFmt w:val="decimal"/>
      <w:pStyle w:val="141"/>
      <w:lvlText w:val="13.%1"/>
      <w:lvlJc w:val="left"/>
      <w:pPr>
        <w:ind w:left="510" w:hanging="51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59CC4275"/>
    <w:multiLevelType w:val="multilevel"/>
    <w:tmpl w:val="70C0FA58"/>
    <w:styleLink w:val="WWOutlineListStyle"/>
    <w:lvl w:ilvl="0">
      <w:start w:val="1"/>
      <w:numFmt w:val="none"/>
      <w:lvlText w:val="%1"/>
      <w:lvlJc w:val="left"/>
    </w:lvl>
    <w:lvl w:ilvl="1">
      <w:start w:val="1"/>
      <w:numFmt w:val="taiwaneseCountingThousand"/>
      <w:pStyle w:val="2"/>
      <w:lvlText w:val="第%2條"/>
      <w:lvlJc w:val="left"/>
      <w:pPr>
        <w:ind w:left="480" w:hanging="480"/>
      </w:pPr>
      <w:rPr>
        <w:rFonts w:ascii="Times New Roman" w:hAnsi="Times New Roman" w:cs="Times New Roman"/>
        <w:b w:val="0"/>
        <w:bCs w:val="0"/>
        <w:i w:val="0"/>
        <w:iCs w:val="0"/>
        <w:caps w:val="0"/>
        <w:smallCaps w:val="0"/>
        <w:strike w:val="0"/>
        <w:dstrike w:val="0"/>
        <w:outline w:val="0"/>
        <w:emboss w:val="0"/>
        <w:imprint w:val="0"/>
        <w:vanish w:val="0"/>
        <w:color w:val="auto"/>
        <w:spacing w:val="0"/>
        <w:kern w:val="0"/>
        <w:position w:val="0"/>
        <w:u w:val="none"/>
        <w:vertAlign w:val="baseline"/>
        <w:em w:val="none"/>
      </w:r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5BE77C98"/>
    <w:multiLevelType w:val="multilevel"/>
    <w:tmpl w:val="4F3C4A88"/>
    <w:styleLink w:val="LFO3"/>
    <w:lvl w:ilvl="0">
      <w:numFmt w:val="bullet"/>
      <w:pStyle w:val="a1"/>
      <w:lvlText w:val=""/>
      <w:lvlJc w:val="left"/>
      <w:pPr>
        <w:ind w:left="361"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5C014FDC"/>
    <w:multiLevelType w:val="multilevel"/>
    <w:tmpl w:val="DE26D5C6"/>
    <w:lvl w:ilvl="0">
      <w:start w:val="1"/>
      <w:numFmt w:val="taiwaneseCountingThousand"/>
      <w:lvlText w:val="(%1)"/>
      <w:lvlJc w:val="left"/>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39" w15:restartNumberingAfterBreak="0">
    <w:nsid w:val="5E4D0B08"/>
    <w:multiLevelType w:val="multilevel"/>
    <w:tmpl w:val="A92A2860"/>
    <w:lvl w:ilvl="0">
      <w:start w:val="1"/>
      <w:numFmt w:val="decimal"/>
      <w:lvlText w:val="%1."/>
      <w:lvlJc w:val="left"/>
      <w:pPr>
        <w:ind w:left="2748" w:hanging="480"/>
      </w:pPr>
      <w:rPr>
        <w:rFonts w:ascii="標楷體" w:eastAsia="標楷體" w:hAnsi="標楷體" w:cs="Times New Roman"/>
      </w:rPr>
    </w:lvl>
    <w:lvl w:ilvl="1">
      <w:start w:val="1"/>
      <w:numFmt w:val="ideographTraditional"/>
      <w:lvlText w:val="%2、"/>
      <w:lvlJc w:val="left"/>
      <w:pPr>
        <w:ind w:left="3228" w:hanging="480"/>
      </w:pPr>
    </w:lvl>
    <w:lvl w:ilvl="2">
      <w:start w:val="1"/>
      <w:numFmt w:val="lowerRoman"/>
      <w:lvlText w:val="%3."/>
      <w:lvlJc w:val="right"/>
      <w:pPr>
        <w:ind w:left="3708" w:hanging="480"/>
      </w:pPr>
    </w:lvl>
    <w:lvl w:ilvl="3">
      <w:start w:val="1"/>
      <w:numFmt w:val="decimal"/>
      <w:lvlText w:val="%4."/>
      <w:lvlJc w:val="left"/>
      <w:pPr>
        <w:ind w:left="4188" w:hanging="480"/>
      </w:pPr>
    </w:lvl>
    <w:lvl w:ilvl="4">
      <w:start w:val="1"/>
      <w:numFmt w:val="ideographTraditional"/>
      <w:lvlText w:val="%5、"/>
      <w:lvlJc w:val="left"/>
      <w:pPr>
        <w:ind w:left="4668" w:hanging="480"/>
      </w:pPr>
    </w:lvl>
    <w:lvl w:ilvl="5">
      <w:start w:val="1"/>
      <w:numFmt w:val="lowerRoman"/>
      <w:lvlText w:val="%6."/>
      <w:lvlJc w:val="right"/>
      <w:pPr>
        <w:ind w:left="5148" w:hanging="480"/>
      </w:pPr>
    </w:lvl>
    <w:lvl w:ilvl="6">
      <w:start w:val="1"/>
      <w:numFmt w:val="decimal"/>
      <w:lvlText w:val="%7."/>
      <w:lvlJc w:val="left"/>
      <w:pPr>
        <w:ind w:left="5628" w:hanging="480"/>
      </w:pPr>
    </w:lvl>
    <w:lvl w:ilvl="7">
      <w:start w:val="1"/>
      <w:numFmt w:val="ideographTraditional"/>
      <w:lvlText w:val="%8、"/>
      <w:lvlJc w:val="left"/>
      <w:pPr>
        <w:ind w:left="6108" w:hanging="480"/>
      </w:pPr>
    </w:lvl>
    <w:lvl w:ilvl="8">
      <w:start w:val="1"/>
      <w:numFmt w:val="lowerRoman"/>
      <w:lvlText w:val="%9."/>
      <w:lvlJc w:val="right"/>
      <w:pPr>
        <w:ind w:left="6588" w:hanging="480"/>
      </w:pPr>
    </w:lvl>
  </w:abstractNum>
  <w:abstractNum w:abstractNumId="40" w15:restartNumberingAfterBreak="0">
    <w:nsid w:val="604506E1"/>
    <w:multiLevelType w:val="multilevel"/>
    <w:tmpl w:val="0928C760"/>
    <w:lvl w:ilvl="0">
      <w:start w:val="1"/>
      <w:numFmt w:val="taiwaneseCountingThousand"/>
      <w:lvlText w:val="(%1)"/>
      <w:lvlJc w:val="left"/>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41" w15:restartNumberingAfterBreak="0">
    <w:nsid w:val="646F52F0"/>
    <w:multiLevelType w:val="multilevel"/>
    <w:tmpl w:val="0EFC4DE4"/>
    <w:styleLink w:val="LFO5"/>
    <w:lvl w:ilvl="0">
      <w:start w:val="1"/>
      <w:numFmt w:val="decimal"/>
      <w:pStyle w:val="205051"/>
      <w:lvlText w:val="%1."/>
      <w:lvlJc w:val="left"/>
      <w:pPr>
        <w:ind w:left="691" w:hanging="360"/>
      </w:pPr>
      <w:rPr>
        <w:rFonts w:ascii="Times New Roman" w:eastAsia="標楷體" w:hAnsi="Times New Roman"/>
        <w:b w:val="0"/>
        <w:strike w:val="0"/>
        <w:dstrike w:val="0"/>
        <w:vanish w:val="0"/>
        <w:color w:val="auto"/>
        <w:position w:val="0"/>
        <w:sz w:val="24"/>
        <w:szCs w:val="24"/>
        <w:vertAlign w:val="baseline"/>
      </w:rPr>
    </w:lvl>
    <w:lvl w:ilvl="1">
      <w:start w:val="1"/>
      <w:numFmt w:val="decimal"/>
      <w:lvlText w:val="(%2)"/>
      <w:lvlJc w:val="left"/>
      <w:pPr>
        <w:ind w:left="1644" w:hanging="283"/>
      </w:pPr>
      <w:rPr>
        <w:b w:val="0"/>
        <w:strike w:val="0"/>
        <w:dstrike w:val="0"/>
        <w:vanish w:val="0"/>
        <w:color w:val="auto"/>
        <w:position w:val="0"/>
        <w:sz w:val="24"/>
        <w:szCs w:val="24"/>
        <w:vertAlign w:val="baseline"/>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65F95C39"/>
    <w:multiLevelType w:val="multilevel"/>
    <w:tmpl w:val="667064D6"/>
    <w:lvl w:ilvl="0">
      <w:start w:val="1"/>
      <w:numFmt w:val="taiwaneseCountingThousand"/>
      <w:lvlText w:val="(%1)"/>
      <w:lvlJc w:val="left"/>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43" w15:restartNumberingAfterBreak="0">
    <w:nsid w:val="69A10859"/>
    <w:multiLevelType w:val="multilevel"/>
    <w:tmpl w:val="BD76C7CE"/>
    <w:lvl w:ilvl="0">
      <w:start w:val="1"/>
      <w:numFmt w:val="taiwaneseCountingThousand"/>
      <w:lvlText w:val="(%1)"/>
      <w:lvlJc w:val="left"/>
      <w:pPr>
        <w:ind w:left="2160" w:hanging="480"/>
      </w:pPr>
    </w:lvl>
    <w:lvl w:ilvl="1">
      <w:start w:val="1"/>
      <w:numFmt w:val="ideographTraditional"/>
      <w:lvlText w:val="%2、"/>
      <w:lvlJc w:val="left"/>
      <w:pPr>
        <w:ind w:left="2640" w:hanging="480"/>
      </w:pPr>
    </w:lvl>
    <w:lvl w:ilvl="2">
      <w:start w:val="1"/>
      <w:numFmt w:val="lowerRoman"/>
      <w:lvlText w:val="%3."/>
      <w:lvlJc w:val="right"/>
      <w:pPr>
        <w:ind w:left="3120" w:hanging="480"/>
      </w:pPr>
    </w:lvl>
    <w:lvl w:ilvl="3">
      <w:start w:val="1"/>
      <w:numFmt w:val="decimal"/>
      <w:lvlText w:val="%4."/>
      <w:lvlJc w:val="left"/>
      <w:pPr>
        <w:ind w:left="3600" w:hanging="480"/>
      </w:pPr>
    </w:lvl>
    <w:lvl w:ilvl="4">
      <w:start w:val="1"/>
      <w:numFmt w:val="ideographTraditional"/>
      <w:lvlText w:val="%5、"/>
      <w:lvlJc w:val="left"/>
      <w:pPr>
        <w:ind w:left="4080" w:hanging="480"/>
      </w:pPr>
    </w:lvl>
    <w:lvl w:ilvl="5">
      <w:start w:val="1"/>
      <w:numFmt w:val="lowerRoman"/>
      <w:lvlText w:val="%6."/>
      <w:lvlJc w:val="right"/>
      <w:pPr>
        <w:ind w:left="4560" w:hanging="480"/>
      </w:pPr>
    </w:lvl>
    <w:lvl w:ilvl="6">
      <w:start w:val="1"/>
      <w:numFmt w:val="decimal"/>
      <w:lvlText w:val="%7."/>
      <w:lvlJc w:val="left"/>
      <w:pPr>
        <w:ind w:left="5040" w:hanging="480"/>
      </w:pPr>
    </w:lvl>
    <w:lvl w:ilvl="7">
      <w:start w:val="1"/>
      <w:numFmt w:val="ideographTraditional"/>
      <w:lvlText w:val="%8、"/>
      <w:lvlJc w:val="left"/>
      <w:pPr>
        <w:ind w:left="5520" w:hanging="480"/>
      </w:pPr>
    </w:lvl>
    <w:lvl w:ilvl="8">
      <w:start w:val="1"/>
      <w:numFmt w:val="lowerRoman"/>
      <w:lvlText w:val="%9."/>
      <w:lvlJc w:val="right"/>
      <w:pPr>
        <w:ind w:left="6000" w:hanging="480"/>
      </w:pPr>
    </w:lvl>
  </w:abstractNum>
  <w:abstractNum w:abstractNumId="44" w15:restartNumberingAfterBreak="0">
    <w:nsid w:val="6AE94BD0"/>
    <w:multiLevelType w:val="multilevel"/>
    <w:tmpl w:val="6B2C0E00"/>
    <w:lvl w:ilvl="0">
      <w:start w:val="1"/>
      <w:numFmt w:val="decimal"/>
      <w:lvlText w:val="%1."/>
      <w:lvlJc w:val="left"/>
      <w:pPr>
        <w:ind w:left="390" w:hanging="390"/>
      </w:pPr>
      <w:rPr>
        <w:b w:val="0"/>
        <w:bCs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6BF44FEE"/>
    <w:multiLevelType w:val="multilevel"/>
    <w:tmpl w:val="4926B8C6"/>
    <w:lvl w:ilvl="0">
      <w:start w:val="1"/>
      <w:numFmt w:val="taiwaneseCountingThousand"/>
      <w:lvlText w:val="(%1)"/>
      <w:lvlJc w:val="left"/>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46" w15:restartNumberingAfterBreak="0">
    <w:nsid w:val="6EBB580A"/>
    <w:multiLevelType w:val="multilevel"/>
    <w:tmpl w:val="5B1CC80A"/>
    <w:styleLink w:val="LFO2"/>
    <w:lvl w:ilvl="0">
      <w:start w:val="1"/>
      <w:numFmt w:val="taiwaneseCountingThousand"/>
      <w:pStyle w:val="a2"/>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7" w15:restartNumberingAfterBreak="0">
    <w:nsid w:val="793F3A1C"/>
    <w:multiLevelType w:val="multilevel"/>
    <w:tmpl w:val="1EC26430"/>
    <w:lvl w:ilvl="0">
      <w:start w:val="1"/>
      <w:numFmt w:val="decimal"/>
      <w:lvlText w:val="%1."/>
      <w:lvlJc w:val="left"/>
      <w:pPr>
        <w:ind w:left="2748" w:hanging="480"/>
      </w:pPr>
      <w:rPr>
        <w:rFonts w:ascii="標楷體" w:eastAsia="標楷體" w:hAnsi="標楷體" w:cs="Times New Roman"/>
      </w:rPr>
    </w:lvl>
    <w:lvl w:ilvl="1">
      <w:start w:val="1"/>
      <w:numFmt w:val="ideographTraditional"/>
      <w:lvlText w:val="%2、"/>
      <w:lvlJc w:val="left"/>
      <w:pPr>
        <w:ind w:left="3228" w:hanging="480"/>
      </w:pPr>
    </w:lvl>
    <w:lvl w:ilvl="2">
      <w:start w:val="1"/>
      <w:numFmt w:val="lowerRoman"/>
      <w:lvlText w:val="%3."/>
      <w:lvlJc w:val="right"/>
      <w:pPr>
        <w:ind w:left="3708" w:hanging="480"/>
      </w:pPr>
    </w:lvl>
    <w:lvl w:ilvl="3">
      <w:start w:val="1"/>
      <w:numFmt w:val="decimal"/>
      <w:lvlText w:val="%4."/>
      <w:lvlJc w:val="left"/>
      <w:pPr>
        <w:ind w:left="4188" w:hanging="480"/>
      </w:pPr>
    </w:lvl>
    <w:lvl w:ilvl="4">
      <w:start w:val="1"/>
      <w:numFmt w:val="ideographTraditional"/>
      <w:lvlText w:val="%5、"/>
      <w:lvlJc w:val="left"/>
      <w:pPr>
        <w:ind w:left="4668" w:hanging="480"/>
      </w:pPr>
    </w:lvl>
    <w:lvl w:ilvl="5">
      <w:start w:val="1"/>
      <w:numFmt w:val="lowerRoman"/>
      <w:lvlText w:val="%6."/>
      <w:lvlJc w:val="right"/>
      <w:pPr>
        <w:ind w:left="5148" w:hanging="480"/>
      </w:pPr>
    </w:lvl>
    <w:lvl w:ilvl="6">
      <w:start w:val="1"/>
      <w:numFmt w:val="decimal"/>
      <w:lvlText w:val="%7."/>
      <w:lvlJc w:val="left"/>
      <w:pPr>
        <w:ind w:left="5628" w:hanging="480"/>
      </w:pPr>
    </w:lvl>
    <w:lvl w:ilvl="7">
      <w:start w:val="1"/>
      <w:numFmt w:val="ideographTraditional"/>
      <w:lvlText w:val="%8、"/>
      <w:lvlJc w:val="left"/>
      <w:pPr>
        <w:ind w:left="6108" w:hanging="480"/>
      </w:pPr>
    </w:lvl>
    <w:lvl w:ilvl="8">
      <w:start w:val="1"/>
      <w:numFmt w:val="lowerRoman"/>
      <w:lvlText w:val="%9."/>
      <w:lvlJc w:val="right"/>
      <w:pPr>
        <w:ind w:left="6588" w:hanging="480"/>
      </w:pPr>
    </w:lvl>
  </w:abstractNum>
  <w:abstractNum w:abstractNumId="48" w15:restartNumberingAfterBreak="0">
    <w:nsid w:val="7AC3600E"/>
    <w:multiLevelType w:val="multilevel"/>
    <w:tmpl w:val="9DFAE768"/>
    <w:lvl w:ilvl="0">
      <w:start w:val="1"/>
      <w:numFmt w:val="taiwaneseCountingThousand"/>
      <w:lvlText w:val="(%1)"/>
      <w:lvlJc w:val="left"/>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49" w15:restartNumberingAfterBreak="0">
    <w:nsid w:val="7CAE76AF"/>
    <w:multiLevelType w:val="multilevel"/>
    <w:tmpl w:val="D24E7A6A"/>
    <w:lvl w:ilvl="0">
      <w:start w:val="1"/>
      <w:numFmt w:val="taiwaneseCountingThousand"/>
      <w:lvlText w:val="(%1)"/>
      <w:lvlJc w:val="left"/>
      <w:pPr>
        <w:ind w:left="2040" w:hanging="480"/>
      </w:pPr>
    </w:lvl>
    <w:lvl w:ilvl="1">
      <w:start w:val="1"/>
      <w:numFmt w:val="ideographTraditional"/>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ideographTraditional"/>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ideographTraditional"/>
      <w:lvlText w:val="%8、"/>
      <w:lvlJc w:val="left"/>
      <w:pPr>
        <w:ind w:left="5400" w:hanging="480"/>
      </w:pPr>
    </w:lvl>
    <w:lvl w:ilvl="8">
      <w:start w:val="1"/>
      <w:numFmt w:val="lowerRoman"/>
      <w:lvlText w:val="%9."/>
      <w:lvlJc w:val="right"/>
      <w:pPr>
        <w:ind w:left="5880" w:hanging="480"/>
      </w:pPr>
    </w:lvl>
  </w:abstractNum>
  <w:abstractNum w:abstractNumId="50" w15:restartNumberingAfterBreak="0">
    <w:nsid w:val="7DB26DA8"/>
    <w:multiLevelType w:val="multilevel"/>
    <w:tmpl w:val="11B80E8A"/>
    <w:lvl w:ilvl="0">
      <w:start w:val="1"/>
      <w:numFmt w:val="decimal"/>
      <w:lvlText w:val="%1."/>
      <w:lvlJc w:val="left"/>
      <w:pPr>
        <w:ind w:left="3360" w:hanging="480"/>
      </w:pPr>
      <w:rPr>
        <w:rFonts w:ascii="標楷體" w:eastAsia="標楷體" w:hAnsi="標楷體" w:cs="Times New Roman"/>
      </w:rPr>
    </w:lvl>
    <w:lvl w:ilvl="1">
      <w:start w:val="1"/>
      <w:numFmt w:val="ideographTraditional"/>
      <w:lvlText w:val="%2、"/>
      <w:lvlJc w:val="left"/>
      <w:pPr>
        <w:ind w:left="3840" w:hanging="480"/>
      </w:pPr>
    </w:lvl>
    <w:lvl w:ilvl="2">
      <w:start w:val="1"/>
      <w:numFmt w:val="lowerRoman"/>
      <w:lvlText w:val="%3."/>
      <w:lvlJc w:val="right"/>
      <w:pPr>
        <w:ind w:left="4320" w:hanging="480"/>
      </w:pPr>
    </w:lvl>
    <w:lvl w:ilvl="3">
      <w:start w:val="1"/>
      <w:numFmt w:val="decimal"/>
      <w:lvlText w:val="%4."/>
      <w:lvlJc w:val="left"/>
      <w:pPr>
        <w:ind w:left="4800" w:hanging="480"/>
      </w:pPr>
    </w:lvl>
    <w:lvl w:ilvl="4">
      <w:start w:val="1"/>
      <w:numFmt w:val="ideographTraditional"/>
      <w:lvlText w:val="%5、"/>
      <w:lvlJc w:val="left"/>
      <w:pPr>
        <w:ind w:left="5280" w:hanging="480"/>
      </w:pPr>
    </w:lvl>
    <w:lvl w:ilvl="5">
      <w:start w:val="1"/>
      <w:numFmt w:val="lowerRoman"/>
      <w:lvlText w:val="%6."/>
      <w:lvlJc w:val="right"/>
      <w:pPr>
        <w:ind w:left="5760" w:hanging="480"/>
      </w:pPr>
    </w:lvl>
    <w:lvl w:ilvl="6">
      <w:start w:val="1"/>
      <w:numFmt w:val="decimal"/>
      <w:lvlText w:val="%7."/>
      <w:lvlJc w:val="left"/>
      <w:pPr>
        <w:ind w:left="6240" w:hanging="480"/>
      </w:pPr>
    </w:lvl>
    <w:lvl w:ilvl="7">
      <w:start w:val="1"/>
      <w:numFmt w:val="ideographTraditional"/>
      <w:lvlText w:val="%8、"/>
      <w:lvlJc w:val="left"/>
      <w:pPr>
        <w:ind w:left="6720" w:hanging="480"/>
      </w:pPr>
    </w:lvl>
    <w:lvl w:ilvl="8">
      <w:start w:val="1"/>
      <w:numFmt w:val="lowerRoman"/>
      <w:lvlText w:val="%9."/>
      <w:lvlJc w:val="right"/>
      <w:pPr>
        <w:ind w:left="7200" w:hanging="480"/>
      </w:pPr>
    </w:lvl>
  </w:abstractNum>
  <w:num w:numId="1">
    <w:abstractNumId w:val="36"/>
  </w:num>
  <w:num w:numId="2">
    <w:abstractNumId w:val="29"/>
  </w:num>
  <w:num w:numId="3">
    <w:abstractNumId w:val="0"/>
  </w:num>
  <w:num w:numId="4">
    <w:abstractNumId w:val="46"/>
  </w:num>
  <w:num w:numId="5">
    <w:abstractNumId w:val="37"/>
  </w:num>
  <w:num w:numId="6">
    <w:abstractNumId w:val="41"/>
  </w:num>
  <w:num w:numId="7">
    <w:abstractNumId w:val="35"/>
  </w:num>
  <w:num w:numId="8">
    <w:abstractNumId w:val="24"/>
  </w:num>
  <w:num w:numId="9">
    <w:abstractNumId w:val="43"/>
  </w:num>
  <w:num w:numId="10">
    <w:abstractNumId w:val="28"/>
  </w:num>
  <w:num w:numId="11">
    <w:abstractNumId w:val="20"/>
  </w:num>
  <w:num w:numId="12">
    <w:abstractNumId w:val="22"/>
  </w:num>
  <w:num w:numId="13">
    <w:abstractNumId w:val="17"/>
  </w:num>
  <w:num w:numId="14">
    <w:abstractNumId w:val="13"/>
  </w:num>
  <w:num w:numId="15">
    <w:abstractNumId w:val="14"/>
  </w:num>
  <w:num w:numId="16">
    <w:abstractNumId w:val="8"/>
  </w:num>
  <w:num w:numId="17">
    <w:abstractNumId w:val="9"/>
  </w:num>
  <w:num w:numId="18">
    <w:abstractNumId w:val="10"/>
  </w:num>
  <w:num w:numId="19">
    <w:abstractNumId w:val="40"/>
  </w:num>
  <w:num w:numId="20">
    <w:abstractNumId w:val="34"/>
  </w:num>
  <w:num w:numId="21">
    <w:abstractNumId w:val="47"/>
  </w:num>
  <w:num w:numId="22">
    <w:abstractNumId w:val="39"/>
  </w:num>
  <w:num w:numId="23">
    <w:abstractNumId w:val="5"/>
  </w:num>
  <w:num w:numId="24">
    <w:abstractNumId w:val="18"/>
  </w:num>
  <w:num w:numId="25">
    <w:abstractNumId w:val="45"/>
  </w:num>
  <w:num w:numId="26">
    <w:abstractNumId w:val="3"/>
  </w:num>
  <w:num w:numId="27">
    <w:abstractNumId w:val="30"/>
  </w:num>
  <w:num w:numId="28">
    <w:abstractNumId w:val="7"/>
  </w:num>
  <w:num w:numId="29">
    <w:abstractNumId w:val="31"/>
  </w:num>
  <w:num w:numId="30">
    <w:abstractNumId w:val="32"/>
  </w:num>
  <w:num w:numId="31">
    <w:abstractNumId w:val="21"/>
  </w:num>
  <w:num w:numId="32">
    <w:abstractNumId w:val="50"/>
  </w:num>
  <w:num w:numId="33">
    <w:abstractNumId w:val="2"/>
  </w:num>
  <w:num w:numId="34">
    <w:abstractNumId w:val="4"/>
  </w:num>
  <w:num w:numId="35">
    <w:abstractNumId w:val="16"/>
  </w:num>
  <w:num w:numId="36">
    <w:abstractNumId w:val="48"/>
  </w:num>
  <w:num w:numId="37">
    <w:abstractNumId w:val="25"/>
  </w:num>
  <w:num w:numId="38">
    <w:abstractNumId w:val="23"/>
  </w:num>
  <w:num w:numId="39">
    <w:abstractNumId w:val="12"/>
  </w:num>
  <w:num w:numId="40">
    <w:abstractNumId w:val="15"/>
  </w:num>
  <w:num w:numId="41">
    <w:abstractNumId w:val="11"/>
  </w:num>
  <w:num w:numId="42">
    <w:abstractNumId w:val="6"/>
  </w:num>
  <w:num w:numId="43">
    <w:abstractNumId w:val="1"/>
  </w:num>
  <w:num w:numId="44">
    <w:abstractNumId w:val="33"/>
  </w:num>
  <w:num w:numId="45">
    <w:abstractNumId w:val="38"/>
  </w:num>
  <w:num w:numId="46">
    <w:abstractNumId w:val="19"/>
  </w:num>
  <w:num w:numId="47">
    <w:abstractNumId w:val="49"/>
  </w:num>
  <w:num w:numId="48">
    <w:abstractNumId w:val="42"/>
  </w:num>
  <w:num w:numId="49">
    <w:abstractNumId w:val="27"/>
  </w:num>
  <w:num w:numId="50">
    <w:abstractNumId w:val="26"/>
  </w:num>
  <w:num w:numId="51">
    <w:abstractNumId w:val="4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AA2"/>
    <w:rsid w:val="00031D1A"/>
    <w:rsid w:val="00177674"/>
    <w:rsid w:val="00232479"/>
    <w:rsid w:val="005220A6"/>
    <w:rsid w:val="0056408A"/>
    <w:rsid w:val="00783298"/>
    <w:rsid w:val="008A69D2"/>
    <w:rsid w:val="00A93693"/>
    <w:rsid w:val="00BE40B7"/>
    <w:rsid w:val="00CD37FA"/>
    <w:rsid w:val="00CF795B"/>
    <w:rsid w:val="00DE4AA2"/>
    <w:rsid w:val="00E47C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82A83"/>
  <w15:docId w15:val="{18C28D7A-70D7-44ED-B3BB-5DE69F80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pPr>
      <w:widowControl w:val="0"/>
      <w:suppressAutoHyphens/>
    </w:pPr>
    <w:rPr>
      <w:kern w:val="3"/>
      <w:sz w:val="24"/>
    </w:rPr>
  </w:style>
  <w:style w:type="paragraph" w:styleId="1">
    <w:name w:val="heading 1"/>
    <w:basedOn w:val="a3"/>
    <w:next w:val="a3"/>
    <w:pPr>
      <w:spacing w:before="360" w:after="360" w:line="360" w:lineRule="atLeast"/>
      <w:outlineLvl w:val="0"/>
    </w:pPr>
    <w:rPr>
      <w:rFonts w:ascii="細明體" w:eastAsia="細明體" w:hAnsi="細明體"/>
      <w:b/>
      <w:kern w:val="0"/>
      <w:sz w:val="60"/>
    </w:rPr>
  </w:style>
  <w:style w:type="paragraph" w:styleId="2">
    <w:name w:val="heading 2"/>
    <w:basedOn w:val="a3"/>
    <w:next w:val="a3"/>
    <w:pPr>
      <w:numPr>
        <w:ilvl w:val="1"/>
        <w:numId w:val="1"/>
      </w:numPr>
      <w:outlineLvl w:val="1"/>
    </w:pPr>
    <w:rPr>
      <w:rFonts w:eastAsia="標楷體"/>
      <w:bCs/>
      <w:szCs w:val="24"/>
    </w:rPr>
  </w:style>
  <w:style w:type="paragraph" w:styleId="3">
    <w:name w:val="heading 3"/>
    <w:basedOn w:val="a3"/>
    <w:next w:val="a3"/>
    <w:pPr>
      <w:keepNext/>
      <w:spacing w:line="720" w:lineRule="auto"/>
      <w:outlineLvl w:val="2"/>
    </w:pPr>
    <w:rPr>
      <w:rFonts w:ascii="Arial" w:hAnsi="Arial"/>
      <w:b/>
      <w:bCs/>
      <w:sz w:val="36"/>
      <w:szCs w:val="36"/>
    </w:rPr>
  </w:style>
  <w:style w:type="paragraph" w:styleId="4">
    <w:name w:val="heading 4"/>
    <w:basedOn w:val="a3"/>
    <w:next w:val="a3"/>
    <w:pPr>
      <w:keepNext/>
      <w:spacing w:line="720" w:lineRule="auto"/>
      <w:outlineLvl w:val="3"/>
    </w:pPr>
    <w:rPr>
      <w:rFonts w:ascii="Arial" w:hAnsi="Arial"/>
      <w:sz w:val="36"/>
      <w:szCs w:val="36"/>
    </w:rPr>
  </w:style>
  <w:style w:type="paragraph" w:styleId="5">
    <w:name w:val="heading 5"/>
    <w:basedOn w:val="a3"/>
    <w:next w:val="a3"/>
    <w:pPr>
      <w:keepNext/>
      <w:snapToGrid w:val="0"/>
      <w:spacing w:line="420" w:lineRule="atLeast"/>
      <w:jc w:val="both"/>
      <w:outlineLvl w:val="4"/>
    </w:pPr>
    <w:rPr>
      <w:rFonts w:ascii="Arial" w:eastAsia="標楷體" w:hAnsi="Arial"/>
      <w:bCs/>
      <w:szCs w:val="26"/>
    </w:rPr>
  </w:style>
  <w:style w:type="paragraph" w:styleId="6">
    <w:name w:val="heading 6"/>
    <w:basedOn w:val="a3"/>
    <w:next w:val="a3"/>
    <w:pPr>
      <w:keepNext/>
      <w:spacing w:line="720" w:lineRule="atLeast"/>
      <w:outlineLvl w:val="5"/>
    </w:pPr>
    <w:rPr>
      <w:rFonts w:ascii="Arial" w:hAnsi="Arial"/>
      <w:sz w:val="36"/>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numbering" w:customStyle="1" w:styleId="WWOutlineListStyle">
    <w:name w:val="WW_OutlineListStyle"/>
    <w:basedOn w:val="a6"/>
    <w:pPr>
      <w:numPr>
        <w:numId w:val="1"/>
      </w:numPr>
    </w:pPr>
  </w:style>
  <w:style w:type="character" w:customStyle="1" w:styleId="10">
    <w:name w:val="標題 1 字元"/>
    <w:rPr>
      <w:rFonts w:ascii="Arial" w:eastAsia="新細明體" w:hAnsi="Arial"/>
      <w:b/>
      <w:bCs/>
      <w:kern w:val="3"/>
      <w:sz w:val="52"/>
      <w:szCs w:val="52"/>
      <w:lang w:val="en-US" w:eastAsia="zh-TW" w:bidi="ar-SA"/>
    </w:rPr>
  </w:style>
  <w:style w:type="character" w:customStyle="1" w:styleId="20">
    <w:name w:val="標題 2 字元"/>
    <w:rPr>
      <w:rFonts w:eastAsia="標楷體"/>
      <w:bCs/>
      <w:kern w:val="3"/>
      <w:sz w:val="24"/>
      <w:szCs w:val="24"/>
    </w:rPr>
  </w:style>
  <w:style w:type="paragraph" w:styleId="a7">
    <w:name w:val="footer"/>
    <w:basedOn w:val="a3"/>
    <w:pPr>
      <w:tabs>
        <w:tab w:val="center" w:pos="4153"/>
        <w:tab w:val="right" w:pos="8306"/>
      </w:tabs>
      <w:snapToGrid w:val="0"/>
    </w:pPr>
    <w:rPr>
      <w:sz w:val="20"/>
    </w:rPr>
  </w:style>
  <w:style w:type="character" w:styleId="a8">
    <w:name w:val="page number"/>
    <w:basedOn w:val="a4"/>
  </w:style>
  <w:style w:type="paragraph" w:styleId="a9">
    <w:name w:val="Plain Text"/>
    <w:basedOn w:val="a3"/>
    <w:rPr>
      <w:rFonts w:ascii="細明體" w:eastAsia="細明體" w:hAnsi="細明體"/>
    </w:rPr>
  </w:style>
  <w:style w:type="paragraph" w:styleId="aa">
    <w:name w:val="Body Text Indent"/>
    <w:basedOn w:val="a3"/>
    <w:pPr>
      <w:ind w:left="506" w:hanging="506"/>
    </w:pPr>
    <w:rPr>
      <w:rFonts w:ascii="新細明體" w:hAnsi="新細明體"/>
      <w:kern w:val="0"/>
    </w:rPr>
  </w:style>
  <w:style w:type="paragraph" w:styleId="21">
    <w:name w:val="Body Text Indent 2"/>
    <w:basedOn w:val="a3"/>
    <w:pPr>
      <w:ind w:left="1260"/>
    </w:pPr>
  </w:style>
  <w:style w:type="paragraph" w:styleId="ab">
    <w:name w:val="Body Text"/>
    <w:basedOn w:val="a3"/>
    <w:pPr>
      <w:jc w:val="both"/>
    </w:pPr>
    <w:rPr>
      <w:rFonts w:ascii="新細明體" w:hAnsi="新細明體"/>
      <w:kern w:val="0"/>
      <w:szCs w:val="33"/>
    </w:rPr>
  </w:style>
  <w:style w:type="paragraph" w:styleId="30">
    <w:name w:val="Body Text Indent 3"/>
    <w:basedOn w:val="a3"/>
    <w:pPr>
      <w:ind w:left="720" w:hanging="720"/>
    </w:pPr>
  </w:style>
  <w:style w:type="paragraph" w:styleId="ac">
    <w:name w:val="Note Heading"/>
    <w:basedOn w:val="a3"/>
    <w:next w:val="a3"/>
    <w:pPr>
      <w:jc w:val="center"/>
    </w:pPr>
    <w:rPr>
      <w:rFonts w:ascii="細明體" w:eastAsia="細明體" w:hAnsi="細明體" w:cs="標楷體"/>
      <w:szCs w:val="24"/>
    </w:rPr>
  </w:style>
  <w:style w:type="paragraph" w:styleId="ad">
    <w:name w:val="header"/>
    <w:basedOn w:val="a3"/>
    <w:pPr>
      <w:tabs>
        <w:tab w:val="center" w:pos="4153"/>
        <w:tab w:val="right" w:pos="8306"/>
      </w:tabs>
      <w:snapToGrid w:val="0"/>
    </w:pPr>
    <w:rPr>
      <w:sz w:val="20"/>
    </w:rPr>
  </w:style>
  <w:style w:type="paragraph" w:styleId="ae">
    <w:name w:val="Closing"/>
    <w:basedOn w:val="a3"/>
    <w:next w:val="a3"/>
    <w:pPr>
      <w:ind w:left="4320"/>
    </w:pPr>
  </w:style>
  <w:style w:type="character" w:styleId="af">
    <w:name w:val="Strong"/>
    <w:rPr>
      <w:b/>
      <w:bCs/>
    </w:rPr>
  </w:style>
  <w:style w:type="paragraph" w:styleId="af0">
    <w:name w:val="Date"/>
    <w:basedOn w:val="a3"/>
    <w:next w:val="a3"/>
    <w:pPr>
      <w:jc w:val="right"/>
    </w:pPr>
    <w:rPr>
      <w:rFonts w:eastAsia="標楷體"/>
      <w:kern w:val="0"/>
      <w:sz w:val="22"/>
      <w:szCs w:val="33"/>
    </w:rPr>
  </w:style>
  <w:style w:type="paragraph" w:customStyle="1" w:styleId="a">
    <w:name w:val="分項段落"/>
    <w:basedOn w:val="a3"/>
    <w:pPr>
      <w:numPr>
        <w:numId w:val="3"/>
      </w:numPr>
      <w:snapToGrid w:val="0"/>
      <w:jc w:val="both"/>
    </w:pPr>
    <w:rPr>
      <w:rFonts w:eastAsia="標楷體"/>
      <w:color w:val="000000"/>
      <w:kern w:val="0"/>
      <w:sz w:val="36"/>
    </w:rPr>
  </w:style>
  <w:style w:type="paragraph" w:customStyle="1" w:styleId="af1">
    <w:name w:val="主旨"/>
    <w:basedOn w:val="a3"/>
    <w:pPr>
      <w:snapToGrid w:val="0"/>
    </w:pPr>
    <w:rPr>
      <w:rFonts w:eastAsia="標楷體"/>
      <w:sz w:val="36"/>
    </w:rPr>
  </w:style>
  <w:style w:type="paragraph" w:styleId="HTML">
    <w:name w:val="HTML Preformatted"/>
    <w:basedOn w:val="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22">
    <w:name w:val="Body Text 2"/>
    <w:basedOn w:val="a3"/>
    <w:pPr>
      <w:ind w:left="720"/>
    </w:pPr>
  </w:style>
  <w:style w:type="paragraph" w:customStyle="1" w:styleId="0">
    <w:name w:val="0本文"/>
    <w:autoRedefine/>
    <w:pPr>
      <w:suppressAutoHyphens/>
      <w:spacing w:line="320" w:lineRule="exact"/>
      <w:ind w:left="35" w:hanging="11"/>
      <w:jc w:val="both"/>
    </w:pPr>
    <w:rPr>
      <w:rFonts w:eastAsia="華康楷書體W5(P)"/>
      <w:sz w:val="22"/>
    </w:rPr>
  </w:style>
  <w:style w:type="paragraph" w:customStyle="1" w:styleId="af2">
    <w:name w:val="章"/>
    <w:basedOn w:val="0"/>
    <w:autoRedefine/>
    <w:pPr>
      <w:spacing w:line="720" w:lineRule="exact"/>
      <w:ind w:firstLine="0"/>
      <w:jc w:val="center"/>
    </w:pPr>
    <w:rPr>
      <w:bCs/>
      <w:sz w:val="36"/>
    </w:rPr>
  </w:style>
  <w:style w:type="paragraph" w:customStyle="1" w:styleId="af3">
    <w:name w:val="壹"/>
    <w:basedOn w:val="0"/>
    <w:next w:val="0"/>
    <w:autoRedefine/>
    <w:pPr>
      <w:spacing w:before="323" w:after="161"/>
      <w:ind w:left="24" w:firstLine="480"/>
    </w:pPr>
    <w:rPr>
      <w:sz w:val="32"/>
      <w:szCs w:val="32"/>
    </w:rPr>
  </w:style>
  <w:style w:type="paragraph" w:customStyle="1" w:styleId="af4">
    <w:name w:val="一、"/>
    <w:basedOn w:val="0"/>
    <w:next w:val="af5"/>
    <w:autoRedefine/>
    <w:pPr>
      <w:ind w:firstLine="0"/>
    </w:pPr>
  </w:style>
  <w:style w:type="paragraph" w:customStyle="1" w:styleId="af5">
    <w:name w:val="一、文"/>
    <w:basedOn w:val="0"/>
    <w:autoRedefine/>
    <w:pPr>
      <w:widowControl w:val="0"/>
      <w:snapToGrid w:val="0"/>
      <w:ind w:left="200"/>
    </w:pPr>
  </w:style>
  <w:style w:type="paragraph" w:customStyle="1" w:styleId="af6">
    <w:name w:val="（一）"/>
    <w:basedOn w:val="af5"/>
    <w:next w:val="0"/>
    <w:pPr>
      <w:ind w:left="550" w:hanging="350"/>
    </w:pPr>
    <w:rPr>
      <w:rFonts w:ascii="華康楷書體W5(P)" w:hAnsi="華康楷書體W5(P)"/>
    </w:rPr>
  </w:style>
  <w:style w:type="paragraph" w:customStyle="1" w:styleId="af7">
    <w:name w:val="（一）文"/>
    <w:basedOn w:val="af5"/>
    <w:autoRedefine/>
    <w:pPr>
      <w:ind w:left="300" w:firstLine="200"/>
    </w:pPr>
  </w:style>
  <w:style w:type="paragraph" w:customStyle="1" w:styleId="17">
    <w:name w:val="樣式17"/>
    <w:basedOn w:val="a3"/>
    <w:pPr>
      <w:spacing w:before="120" w:line="360" w:lineRule="atLeast"/>
      <w:ind w:left="1418" w:hanging="1418"/>
      <w:jc w:val="both"/>
    </w:pPr>
    <w:rPr>
      <w:rFonts w:ascii="全真楷書" w:eastAsia="全真楷書" w:hAnsi="全真楷書"/>
      <w:kern w:val="0"/>
      <w:sz w:val="28"/>
    </w:rPr>
  </w:style>
  <w:style w:type="paragraph" w:customStyle="1" w:styleId="19">
    <w:name w:val="樣式19"/>
    <w:basedOn w:val="a3"/>
    <w:pPr>
      <w:spacing w:line="240" w:lineRule="atLeast"/>
      <w:ind w:left="2552" w:hanging="567"/>
      <w:jc w:val="both"/>
    </w:pPr>
    <w:rPr>
      <w:rFonts w:ascii="全真楷書" w:eastAsia="全真楷書" w:hAnsi="全真楷書"/>
      <w:kern w:val="0"/>
      <w:sz w:val="28"/>
    </w:rPr>
  </w:style>
  <w:style w:type="paragraph" w:customStyle="1" w:styleId="27">
    <w:name w:val="樣式27"/>
    <w:basedOn w:val="a3"/>
    <w:pPr>
      <w:spacing w:line="360" w:lineRule="atLeast"/>
      <w:ind w:left="1418" w:firstLine="567"/>
      <w:jc w:val="both"/>
    </w:pPr>
    <w:rPr>
      <w:rFonts w:ascii="全真楷書" w:eastAsia="全真楷書" w:hAnsi="全真楷書"/>
      <w:kern w:val="0"/>
      <w:sz w:val="28"/>
    </w:rPr>
  </w:style>
  <w:style w:type="paragraph" w:customStyle="1" w:styleId="00">
    <w:name w:val="樣式0"/>
    <w:basedOn w:val="a3"/>
    <w:pPr>
      <w:spacing w:before="120" w:line="240" w:lineRule="atLeast"/>
      <w:ind w:left="567" w:hanging="567"/>
      <w:jc w:val="both"/>
    </w:pPr>
    <w:rPr>
      <w:rFonts w:eastAsia="全真楷書"/>
      <w:kern w:val="0"/>
      <w:sz w:val="28"/>
    </w:rPr>
  </w:style>
  <w:style w:type="paragraph" w:customStyle="1" w:styleId="210">
    <w:name w:val="樣式21"/>
    <w:basedOn w:val="17"/>
    <w:pPr>
      <w:ind w:left="1701" w:hanging="1701"/>
    </w:pPr>
  </w:style>
  <w:style w:type="paragraph" w:customStyle="1" w:styleId="220">
    <w:name w:val="樣式22"/>
    <w:basedOn w:val="19"/>
    <w:pPr>
      <w:ind w:left="2835"/>
    </w:pPr>
  </w:style>
  <w:style w:type="paragraph" w:customStyle="1" w:styleId="af8">
    <w:name w:val="一"/>
    <w:basedOn w:val="a3"/>
    <w:pPr>
      <w:spacing w:before="120" w:after="60" w:line="300" w:lineRule="auto"/>
      <w:ind w:left="567" w:hanging="567"/>
    </w:pPr>
    <w:rPr>
      <w:rFonts w:ascii="華康細明體" w:eastAsia="華康細明體" w:hAnsi="華康細明體"/>
      <w:spacing w:val="10"/>
      <w:kern w:val="0"/>
      <w:sz w:val="28"/>
    </w:rPr>
  </w:style>
  <w:style w:type="paragraph" w:customStyle="1" w:styleId="11">
    <w:name w:val="1."/>
    <w:basedOn w:val="a3"/>
    <w:pPr>
      <w:spacing w:line="288" w:lineRule="auto"/>
      <w:ind w:left="1020" w:hanging="340"/>
    </w:pPr>
    <w:rPr>
      <w:rFonts w:ascii="華康細明體" w:eastAsia="華康細明體" w:hAnsi="華康細明體"/>
      <w:spacing w:val="10"/>
      <w:kern w:val="0"/>
      <w:sz w:val="28"/>
    </w:rPr>
  </w:style>
  <w:style w:type="paragraph" w:customStyle="1" w:styleId="71">
    <w:name w:val="樣式71"/>
    <w:basedOn w:val="a3"/>
    <w:pPr>
      <w:spacing w:line="360" w:lineRule="exact"/>
      <w:ind w:left="1599" w:hanging="1599"/>
    </w:pPr>
    <w:rPr>
      <w:rFonts w:eastAsia="全真楷書"/>
      <w:spacing w:val="14"/>
      <w:kern w:val="0"/>
    </w:rPr>
  </w:style>
  <w:style w:type="paragraph" w:customStyle="1" w:styleId="50">
    <w:name w:val="樣式5"/>
    <w:basedOn w:val="a3"/>
    <w:pPr>
      <w:spacing w:line="360" w:lineRule="exact"/>
      <w:ind w:left="794"/>
    </w:pPr>
    <w:rPr>
      <w:rFonts w:eastAsia="全真楷書"/>
      <w:spacing w:val="14"/>
      <w:kern w:val="0"/>
    </w:rPr>
  </w:style>
  <w:style w:type="paragraph" w:customStyle="1" w:styleId="23">
    <w:name w:val="樣式2"/>
    <w:basedOn w:val="a3"/>
    <w:pPr>
      <w:spacing w:line="360" w:lineRule="exact"/>
      <w:ind w:left="1077" w:hanging="1077"/>
    </w:pPr>
    <w:rPr>
      <w:rFonts w:eastAsia="全真楷書"/>
      <w:spacing w:val="14"/>
      <w:kern w:val="0"/>
    </w:rPr>
  </w:style>
  <w:style w:type="paragraph" w:styleId="af9">
    <w:name w:val="Block Text"/>
    <w:basedOn w:val="a3"/>
    <w:pPr>
      <w:spacing w:before="120"/>
      <w:ind w:left="851" w:right="57" w:hanging="284"/>
      <w:jc w:val="both"/>
    </w:pPr>
    <w:rPr>
      <w:rFonts w:ascii="全真楷書" w:eastAsia="全真楷書" w:hAnsi="全真楷書"/>
      <w:sz w:val="28"/>
    </w:rPr>
  </w:style>
  <w:style w:type="paragraph" w:customStyle="1" w:styleId="60">
    <w:name w:val="樣式6"/>
    <w:basedOn w:val="23"/>
  </w:style>
  <w:style w:type="paragraph" w:customStyle="1" w:styleId="afa">
    <w:name w:val="內縮"/>
    <w:basedOn w:val="a3"/>
    <w:pPr>
      <w:widowControl/>
      <w:autoSpaceDE w:val="0"/>
      <w:spacing w:line="560" w:lineRule="atLeast"/>
      <w:ind w:left="600" w:right="-726" w:hanging="600"/>
      <w:jc w:val="both"/>
      <w:textAlignment w:val="center"/>
    </w:pPr>
    <w:rPr>
      <w:rFonts w:ascii="全真楷書" w:eastAsia="全真楷書" w:hAnsi="全真楷書"/>
      <w:kern w:val="0"/>
      <w:sz w:val="32"/>
    </w:rPr>
  </w:style>
  <w:style w:type="paragraph" w:customStyle="1" w:styleId="afb">
    <w:name w:val="第一條"/>
    <w:basedOn w:val="a3"/>
    <w:pPr>
      <w:wordWrap w:val="0"/>
      <w:overflowPunct w:val="0"/>
      <w:autoSpaceDE w:val="0"/>
      <w:ind w:left="1134" w:hanging="1134"/>
    </w:pPr>
    <w:rPr>
      <w:rFonts w:eastAsia="華康楷書體W5"/>
      <w:kern w:val="0"/>
      <w:sz w:val="28"/>
    </w:rPr>
  </w:style>
  <w:style w:type="paragraph" w:customStyle="1" w:styleId="afc">
    <w:name w:val="第十一條"/>
    <w:basedOn w:val="afb"/>
    <w:pPr>
      <w:ind w:left="1418" w:hanging="1418"/>
    </w:pPr>
    <w:rPr>
      <w:rFonts w:ascii="全真楷書" w:hAnsi="全真楷書"/>
    </w:rPr>
  </w:style>
  <w:style w:type="paragraph" w:customStyle="1" w:styleId="afd">
    <w:name w:val="第十一條內文"/>
    <w:basedOn w:val="a3"/>
    <w:pPr>
      <w:wordWrap w:val="0"/>
      <w:overflowPunct w:val="0"/>
      <w:autoSpaceDE w:val="0"/>
      <w:ind w:left="823"/>
    </w:pPr>
    <w:rPr>
      <w:rFonts w:ascii="全真楷書" w:eastAsia="華康楷書體W5" w:hAnsi="全真楷書"/>
      <w:kern w:val="0"/>
      <w:sz w:val="28"/>
    </w:rPr>
  </w:style>
  <w:style w:type="paragraph" w:customStyle="1" w:styleId="a2">
    <w:name w:val="條文三"/>
    <w:basedOn w:val="a3"/>
    <w:pPr>
      <w:numPr>
        <w:numId w:val="4"/>
      </w:numPr>
      <w:tabs>
        <w:tab w:val="left" w:pos="1287"/>
      </w:tabs>
      <w:ind w:right="57"/>
      <w:jc w:val="both"/>
    </w:pPr>
    <w:rPr>
      <w:rFonts w:ascii="全真楷書" w:eastAsia="全真楷書" w:hAnsi="全真楷書"/>
      <w:sz w:val="28"/>
    </w:rPr>
  </w:style>
  <w:style w:type="paragraph" w:customStyle="1" w:styleId="afe">
    <w:name w:val="條文一"/>
    <w:basedOn w:val="a3"/>
    <w:pPr>
      <w:ind w:left="512" w:right="57" w:hanging="540"/>
      <w:jc w:val="both"/>
    </w:pPr>
    <w:rPr>
      <w:rFonts w:ascii="全真楷書" w:eastAsia="全真楷書" w:hAnsi="全真楷書"/>
      <w:sz w:val="28"/>
    </w:rPr>
  </w:style>
  <w:style w:type="paragraph" w:customStyle="1" w:styleId="aff">
    <w:name w:val="條文二"/>
    <w:basedOn w:val="a3"/>
    <w:pPr>
      <w:ind w:left="512" w:right="57"/>
      <w:jc w:val="both"/>
    </w:pPr>
    <w:rPr>
      <w:rFonts w:ascii="全真楷書" w:eastAsia="全真楷書" w:hAnsi="全真楷書"/>
      <w:sz w:val="28"/>
    </w:rPr>
  </w:style>
  <w:style w:type="paragraph" w:customStyle="1" w:styleId="aff0">
    <w:name w:val="(一)"/>
    <w:basedOn w:val="a3"/>
    <w:pPr>
      <w:ind w:left="1361" w:right="57" w:hanging="794"/>
      <w:jc w:val="both"/>
    </w:pPr>
    <w:rPr>
      <w:rFonts w:ascii="全真楷書" w:eastAsia="全真楷書" w:hAnsi="全真楷書"/>
      <w:sz w:val="28"/>
    </w:rPr>
  </w:style>
  <w:style w:type="paragraph" w:customStyle="1" w:styleId="7">
    <w:name w:val="樣式7"/>
    <w:basedOn w:val="23"/>
    <w:pPr>
      <w:ind w:left="1361" w:hanging="1361"/>
    </w:pPr>
  </w:style>
  <w:style w:type="paragraph" w:customStyle="1" w:styleId="aff1">
    <w:name w:val="第一款"/>
    <w:basedOn w:val="a3"/>
    <w:pPr>
      <w:spacing w:line="480" w:lineRule="exact"/>
      <w:ind w:left="612"/>
      <w:jc w:val="both"/>
    </w:pPr>
    <w:rPr>
      <w:rFonts w:ascii="標楷體" w:eastAsia="標楷體" w:hAnsi="標楷體"/>
      <w:bCs/>
      <w:sz w:val="32"/>
      <w:szCs w:val="24"/>
    </w:rPr>
  </w:style>
  <w:style w:type="paragraph" w:customStyle="1" w:styleId="aff2">
    <w:name w:val="第一點"/>
    <w:basedOn w:val="a3"/>
    <w:pPr>
      <w:snapToGrid w:val="0"/>
      <w:spacing w:before="60" w:after="60" w:line="480" w:lineRule="exact"/>
      <w:ind w:left="612" w:hanging="612"/>
      <w:jc w:val="both"/>
    </w:pPr>
    <w:rPr>
      <w:rFonts w:ascii="標楷體" w:eastAsia="標楷體" w:hAnsi="標楷體"/>
      <w:bCs/>
      <w:sz w:val="32"/>
      <w:szCs w:val="24"/>
    </w:rPr>
  </w:style>
  <w:style w:type="paragraph" w:styleId="a1">
    <w:name w:val="List Bullet"/>
    <w:basedOn w:val="a3"/>
    <w:autoRedefine/>
    <w:pPr>
      <w:numPr>
        <w:numId w:val="5"/>
      </w:numPr>
    </w:pPr>
  </w:style>
  <w:style w:type="paragraph" w:customStyle="1" w:styleId="Default">
    <w:name w:val="Default"/>
    <w:pPr>
      <w:widowControl w:val="0"/>
      <w:suppressAutoHyphens/>
      <w:autoSpaceDE w:val="0"/>
    </w:pPr>
    <w:rPr>
      <w:rFonts w:ascii="DFKaiShu-SB-Estd-BF" w:eastAsia="DFKaiShu-SB-Estd-BF" w:hAnsi="DFKaiShu-SB-Estd-BF"/>
    </w:rPr>
  </w:style>
  <w:style w:type="paragraph" w:styleId="aff3">
    <w:name w:val="Balloon Text"/>
    <w:basedOn w:val="a3"/>
    <w:rPr>
      <w:rFonts w:ascii="Arial" w:hAnsi="Arial"/>
      <w:sz w:val="18"/>
      <w:szCs w:val="18"/>
    </w:rPr>
  </w:style>
  <w:style w:type="paragraph" w:customStyle="1" w:styleId="a40">
    <w:name w:val="a4"/>
    <w:basedOn w:val="a3"/>
    <w:pPr>
      <w:widowControl/>
      <w:spacing w:before="100" w:after="100"/>
    </w:pPr>
    <w:rPr>
      <w:rFonts w:ascii="Arial Unicode MS" w:eastAsia="Arial Unicode MS" w:hAnsi="Arial Unicode MS" w:cs="Arial Unicode MS"/>
      <w:color w:val="000000"/>
      <w:kern w:val="0"/>
      <w:szCs w:val="24"/>
    </w:rPr>
  </w:style>
  <w:style w:type="paragraph" w:customStyle="1" w:styleId="a60">
    <w:name w:val="a6"/>
    <w:basedOn w:val="a3"/>
    <w:pPr>
      <w:widowControl/>
      <w:spacing w:before="100" w:after="100"/>
    </w:pPr>
    <w:rPr>
      <w:rFonts w:ascii="Arial Unicode MS" w:eastAsia="Arial Unicode MS" w:hAnsi="Arial Unicode MS" w:cs="Arial Unicode MS"/>
      <w:color w:val="000000"/>
      <w:kern w:val="0"/>
      <w:szCs w:val="24"/>
    </w:rPr>
  </w:style>
  <w:style w:type="paragraph" w:customStyle="1" w:styleId="a50">
    <w:name w:val="a5"/>
    <w:basedOn w:val="a3"/>
    <w:pPr>
      <w:widowControl/>
      <w:spacing w:before="100" w:after="100"/>
    </w:pPr>
    <w:rPr>
      <w:rFonts w:ascii="Arial Unicode MS" w:eastAsia="Arial Unicode MS" w:hAnsi="Arial Unicode MS" w:cs="Arial Unicode MS"/>
      <w:color w:val="000000"/>
      <w:kern w:val="0"/>
      <w:szCs w:val="24"/>
    </w:rPr>
  </w:style>
  <w:style w:type="paragraph" w:customStyle="1" w:styleId="aff4">
    <w:name w:val="條文"/>
    <w:basedOn w:val="a3"/>
    <w:pPr>
      <w:spacing w:after="120"/>
      <w:ind w:left="1701"/>
      <w:jc w:val="both"/>
    </w:pPr>
    <w:rPr>
      <w:rFonts w:eastAsia="標楷體"/>
      <w:kern w:val="0"/>
      <w:sz w:val="26"/>
    </w:rPr>
  </w:style>
  <w:style w:type="paragraph" w:customStyle="1" w:styleId="12">
    <w:name w:val="樣式 標題 1 +"/>
    <w:basedOn w:val="1"/>
    <w:pPr>
      <w:snapToGrid w:val="0"/>
      <w:spacing w:before="0" w:after="0" w:line="240" w:lineRule="auto"/>
    </w:pPr>
    <w:rPr>
      <w:sz w:val="32"/>
    </w:rPr>
  </w:style>
  <w:style w:type="character" w:customStyle="1" w:styleId="13">
    <w:name w:val="樣式 標題 1 + 字元"/>
    <w:rPr>
      <w:rFonts w:ascii="Arial" w:eastAsia="新細明體" w:hAnsi="Arial"/>
      <w:b/>
      <w:bCs/>
      <w:kern w:val="3"/>
      <w:sz w:val="32"/>
      <w:szCs w:val="52"/>
      <w:lang w:val="en-US" w:eastAsia="zh-TW" w:bidi="ar-SA"/>
    </w:rPr>
  </w:style>
  <w:style w:type="paragraph" w:customStyle="1" w:styleId="14">
    <w:name w:val="標題1"/>
    <w:basedOn w:val="1"/>
    <w:pPr>
      <w:snapToGrid w:val="0"/>
      <w:spacing w:before="0" w:after="0" w:line="240" w:lineRule="auto"/>
    </w:pPr>
    <w:rPr>
      <w:rFonts w:ascii="Times New Roman" w:eastAsia="標楷體" w:hAnsi="Times New Roman"/>
      <w:sz w:val="32"/>
      <w:szCs w:val="32"/>
    </w:rPr>
  </w:style>
  <w:style w:type="paragraph" w:styleId="15">
    <w:name w:val="toc 1"/>
    <w:basedOn w:val="a3"/>
    <w:next w:val="a3"/>
    <w:autoRedefine/>
    <w:pPr>
      <w:tabs>
        <w:tab w:val="right" w:leader="dot" w:pos="9000"/>
      </w:tabs>
    </w:pPr>
    <w:rPr>
      <w:sz w:val="28"/>
      <w:szCs w:val="28"/>
    </w:rPr>
  </w:style>
  <w:style w:type="paragraph" w:styleId="24">
    <w:name w:val="toc 2"/>
    <w:basedOn w:val="a3"/>
    <w:next w:val="a3"/>
    <w:autoRedefine/>
    <w:pPr>
      <w:tabs>
        <w:tab w:val="left" w:pos="2520"/>
        <w:tab w:val="right" w:leader="dot" w:pos="9000"/>
      </w:tabs>
      <w:ind w:left="480"/>
    </w:pPr>
    <w:rPr>
      <w:szCs w:val="24"/>
    </w:rPr>
  </w:style>
  <w:style w:type="paragraph" w:styleId="31">
    <w:name w:val="toc 3"/>
    <w:basedOn w:val="a3"/>
    <w:next w:val="a3"/>
    <w:autoRedefine/>
    <w:pPr>
      <w:ind w:left="960"/>
    </w:pPr>
    <w:rPr>
      <w:szCs w:val="24"/>
    </w:rPr>
  </w:style>
  <w:style w:type="paragraph" w:styleId="40">
    <w:name w:val="toc 4"/>
    <w:basedOn w:val="a3"/>
    <w:next w:val="a3"/>
    <w:autoRedefine/>
    <w:pPr>
      <w:ind w:left="1440"/>
    </w:pPr>
    <w:rPr>
      <w:szCs w:val="24"/>
    </w:rPr>
  </w:style>
  <w:style w:type="paragraph" w:styleId="51">
    <w:name w:val="toc 5"/>
    <w:basedOn w:val="a3"/>
    <w:next w:val="a3"/>
    <w:autoRedefine/>
    <w:pPr>
      <w:ind w:left="1920"/>
    </w:pPr>
    <w:rPr>
      <w:szCs w:val="24"/>
    </w:rPr>
  </w:style>
  <w:style w:type="paragraph" w:styleId="61">
    <w:name w:val="toc 6"/>
    <w:basedOn w:val="a3"/>
    <w:next w:val="a3"/>
    <w:autoRedefine/>
    <w:pPr>
      <w:ind w:left="2400"/>
    </w:pPr>
    <w:rPr>
      <w:szCs w:val="24"/>
    </w:rPr>
  </w:style>
  <w:style w:type="paragraph" w:styleId="70">
    <w:name w:val="toc 7"/>
    <w:basedOn w:val="a3"/>
    <w:next w:val="a3"/>
    <w:autoRedefine/>
    <w:pPr>
      <w:ind w:left="2880"/>
    </w:pPr>
    <w:rPr>
      <w:szCs w:val="24"/>
    </w:rPr>
  </w:style>
  <w:style w:type="paragraph" w:styleId="8">
    <w:name w:val="toc 8"/>
    <w:basedOn w:val="a3"/>
    <w:next w:val="a3"/>
    <w:autoRedefine/>
    <w:pPr>
      <w:ind w:left="3360"/>
    </w:pPr>
    <w:rPr>
      <w:szCs w:val="24"/>
    </w:rPr>
  </w:style>
  <w:style w:type="paragraph" w:styleId="9">
    <w:name w:val="toc 9"/>
    <w:basedOn w:val="a3"/>
    <w:next w:val="a3"/>
    <w:autoRedefine/>
    <w:pPr>
      <w:ind w:left="3840"/>
    </w:pPr>
    <w:rPr>
      <w:szCs w:val="24"/>
    </w:rPr>
  </w:style>
  <w:style w:type="paragraph" w:customStyle="1" w:styleId="25">
    <w:name w:val="樣式 標題 2 +"/>
    <w:basedOn w:val="2"/>
    <w:pPr>
      <w:widowControl/>
      <w:numPr>
        <w:ilvl w:val="0"/>
        <w:numId w:val="0"/>
      </w:numPr>
      <w:tabs>
        <w:tab w:val="left" w:pos="691"/>
      </w:tabs>
      <w:spacing w:before="50" w:after="50"/>
      <w:ind w:left="482" w:hanging="482"/>
    </w:pPr>
    <w:rPr>
      <w:kern w:val="0"/>
      <w:sz w:val="20"/>
    </w:rPr>
  </w:style>
  <w:style w:type="character" w:customStyle="1" w:styleId="26">
    <w:name w:val="樣式 標題 2 + 字元"/>
    <w:basedOn w:val="20"/>
    <w:rPr>
      <w:rFonts w:eastAsia="標楷體"/>
      <w:bCs/>
      <w:kern w:val="3"/>
      <w:sz w:val="24"/>
      <w:szCs w:val="24"/>
    </w:rPr>
  </w:style>
  <w:style w:type="paragraph" w:customStyle="1" w:styleId="20505">
    <w:name w:val="樣式 樣式 標題 2 + + 套用前:  0.5 列 套用後:  0.5 列"/>
    <w:basedOn w:val="25"/>
    <w:pPr>
      <w:spacing w:before="100" w:after="0"/>
      <w:ind w:left="480" w:hanging="480"/>
    </w:pPr>
    <w:rPr>
      <w:rFonts w:cs="新細明體"/>
      <w:szCs w:val="20"/>
    </w:rPr>
  </w:style>
  <w:style w:type="paragraph" w:customStyle="1" w:styleId="29pt9pt">
    <w:name w:val="樣式 標題 2 + 套用前:  9 pt 套用後:  9 pt"/>
    <w:basedOn w:val="2"/>
    <w:pPr>
      <w:numPr>
        <w:ilvl w:val="0"/>
        <w:numId w:val="0"/>
      </w:numPr>
      <w:tabs>
        <w:tab w:val="left" w:pos="691"/>
      </w:tabs>
      <w:spacing w:before="120"/>
      <w:ind w:left="691" w:hanging="360"/>
    </w:pPr>
    <w:rPr>
      <w:rFonts w:cs="新細明體"/>
      <w:bCs w:val="0"/>
      <w:szCs w:val="20"/>
    </w:rPr>
  </w:style>
  <w:style w:type="paragraph" w:customStyle="1" w:styleId="205051">
    <w:name w:val="樣式 樣式 樣式 標題 2 + + 套用前:  0.5 列 套用後:  0.5 列 + 套用前:  1 列"/>
    <w:basedOn w:val="20505"/>
    <w:pPr>
      <w:numPr>
        <w:numId w:val="6"/>
      </w:numPr>
      <w:spacing w:before="50"/>
    </w:pPr>
  </w:style>
  <w:style w:type="paragraph" w:customStyle="1" w:styleId="a4TimesNewRoman">
    <w:name w:val="a4 + (拉丁) Times New Roman"/>
    <w:basedOn w:val="a40"/>
    <w:pPr>
      <w:spacing w:before="180" w:after="180"/>
      <w:jc w:val="both"/>
    </w:pPr>
    <w:rPr>
      <w:rFonts w:ascii="Times New Roman" w:eastAsia="標楷體" w:hAnsi="Times New Roman" w:cs="Times New Roman"/>
      <w:color w:val="auto"/>
    </w:rPr>
  </w:style>
  <w:style w:type="paragraph" w:customStyle="1" w:styleId="aff5">
    <w:name w:val="第一條　條文"/>
    <w:basedOn w:val="a3"/>
    <w:autoRedefine/>
    <w:pPr>
      <w:spacing w:line="320" w:lineRule="exact"/>
      <w:ind w:left="1100" w:firstLine="440"/>
      <w:jc w:val="both"/>
    </w:pPr>
    <w:rPr>
      <w:rFonts w:eastAsia="標楷體"/>
      <w:sz w:val="22"/>
      <w:szCs w:val="24"/>
    </w:rPr>
  </w:style>
  <w:style w:type="paragraph" w:customStyle="1" w:styleId="aff6">
    <w:name w:val="第一條　一"/>
    <w:basedOn w:val="a3"/>
    <w:autoRedefine/>
    <w:pPr>
      <w:spacing w:line="320" w:lineRule="exact"/>
      <w:ind w:left="1947" w:hanging="440"/>
      <w:jc w:val="both"/>
    </w:pPr>
    <w:rPr>
      <w:rFonts w:ascii="標楷體" w:eastAsia="標楷體" w:hAnsi="標楷體"/>
      <w:kern w:val="0"/>
      <w:sz w:val="22"/>
      <w:szCs w:val="22"/>
    </w:rPr>
  </w:style>
  <w:style w:type="paragraph" w:customStyle="1" w:styleId="aff7">
    <w:name w:val="中華民國均"/>
    <w:basedOn w:val="aff5"/>
    <w:autoRedefine/>
    <w:pPr>
      <w:ind w:left="0" w:firstLine="0"/>
      <w:jc w:val="left"/>
    </w:pPr>
    <w:rPr>
      <w:sz w:val="28"/>
      <w:szCs w:val="28"/>
    </w:rPr>
  </w:style>
  <w:style w:type="paragraph" w:styleId="aff8">
    <w:name w:val="List Paragraph"/>
    <w:basedOn w:val="a3"/>
    <w:pPr>
      <w:ind w:left="480"/>
    </w:pPr>
    <w:rPr>
      <w:rFonts w:ascii="Calibri" w:hAnsi="Calibri"/>
      <w:szCs w:val="22"/>
    </w:rPr>
  </w:style>
  <w:style w:type="paragraph" w:customStyle="1" w:styleId="aff9">
    <w:name w:val="第一條　□"/>
    <w:basedOn w:val="aff5"/>
    <w:autoRedefine/>
    <w:pPr>
      <w:ind w:left="1760" w:hanging="220"/>
    </w:pPr>
  </w:style>
  <w:style w:type="paragraph" w:customStyle="1" w:styleId="affa">
    <w:name w:val="第一條　□□"/>
    <w:basedOn w:val="aff9"/>
    <w:autoRedefine/>
    <w:pPr>
      <w:ind w:left="1980"/>
    </w:pPr>
  </w:style>
  <w:style w:type="paragraph" w:customStyle="1" w:styleId="affb">
    <w:name w:val="第一章"/>
    <w:basedOn w:val="a3"/>
    <w:autoRedefine/>
    <w:pPr>
      <w:widowControl/>
      <w:spacing w:line="320" w:lineRule="exact"/>
      <w:ind w:firstLine="641"/>
      <w:jc w:val="both"/>
    </w:pPr>
    <w:rPr>
      <w:rFonts w:ascii="標楷體" w:eastAsia="標楷體" w:hAnsi="標楷體"/>
      <w:b/>
      <w:kern w:val="0"/>
      <w:sz w:val="32"/>
      <w:szCs w:val="32"/>
    </w:rPr>
  </w:style>
  <w:style w:type="paragraph" w:customStyle="1" w:styleId="affc">
    <w:name w:val="第一條　十一"/>
    <w:basedOn w:val="aff6"/>
    <w:autoRedefine/>
    <w:pPr>
      <w:ind w:left="1760" w:hanging="660"/>
    </w:pPr>
    <w:rPr>
      <w:rFonts w:ascii="Times New Roman" w:eastAsia="全真楷書" w:hAnsi="Times New Roman"/>
      <w:kern w:val="3"/>
      <w:szCs w:val="24"/>
    </w:rPr>
  </w:style>
  <w:style w:type="paragraph" w:customStyle="1" w:styleId="28">
    <w:name w:val="第一條　□□凸2"/>
    <w:basedOn w:val="affa"/>
    <w:pPr>
      <w:ind w:left="1000" w:hanging="200"/>
    </w:pPr>
    <w:rPr>
      <w:rFonts w:ascii="全真楷書" w:eastAsia="全真楷書" w:hAnsi="全真楷書"/>
    </w:rPr>
  </w:style>
  <w:style w:type="paragraph" w:customStyle="1" w:styleId="affd">
    <w:name w:val="第一條　□凸２"/>
    <w:basedOn w:val="aff9"/>
    <w:pPr>
      <w:ind w:left="900" w:hanging="200"/>
    </w:pPr>
    <w:rPr>
      <w:rFonts w:ascii="全真楷書" w:eastAsia="全真楷書" w:hAnsi="全真楷書"/>
    </w:rPr>
  </w:style>
  <w:style w:type="paragraph" w:customStyle="1" w:styleId="affe">
    <w:name w:val="縮６凸１"/>
    <w:basedOn w:val="a3"/>
    <w:pPr>
      <w:spacing w:line="320" w:lineRule="exact"/>
      <w:ind w:left="800" w:hanging="100"/>
      <w:jc w:val="both"/>
    </w:pPr>
    <w:rPr>
      <w:rFonts w:eastAsia="標楷體"/>
      <w:sz w:val="22"/>
      <w:szCs w:val="24"/>
    </w:rPr>
  </w:style>
  <w:style w:type="character" w:customStyle="1" w:styleId="dialogtext1">
    <w:name w:val="dialog_text1"/>
    <w:rPr>
      <w:rFonts w:ascii="sө" w:hAnsi="sө"/>
      <w:color w:val="000000"/>
      <w:sz w:val="24"/>
      <w:szCs w:val="24"/>
    </w:rPr>
  </w:style>
  <w:style w:type="paragraph" w:customStyle="1" w:styleId="afff">
    <w:name w:val="款"/>
    <w:basedOn w:val="a3"/>
    <w:pPr>
      <w:spacing w:line="0" w:lineRule="atLeast"/>
      <w:ind w:hanging="480"/>
    </w:pPr>
    <w:rPr>
      <w:rFonts w:ascii="新細明體" w:hAnsi="新細明體"/>
      <w:szCs w:val="24"/>
    </w:rPr>
  </w:style>
  <w:style w:type="paragraph" w:customStyle="1" w:styleId="afff0">
    <w:name w:val="段落（一）"/>
    <w:basedOn w:val="a3"/>
    <w:pPr>
      <w:autoSpaceDE w:val="0"/>
      <w:spacing w:before="60"/>
      <w:ind w:left="584" w:right="-624" w:hanging="227"/>
    </w:pPr>
    <w:rPr>
      <w:rFonts w:ascii="全真楷書" w:eastAsia="全真楷書" w:hAnsi="全真楷書"/>
      <w:kern w:val="0"/>
    </w:rPr>
  </w:style>
  <w:style w:type="character" w:styleId="afff1">
    <w:name w:val="Hyperlink"/>
    <w:rPr>
      <w:color w:val="0000FF"/>
      <w:u w:val="single"/>
    </w:rPr>
  </w:style>
  <w:style w:type="paragraph" w:customStyle="1" w:styleId="29">
    <w:name w:val="黑體凸2"/>
    <w:basedOn w:val="a3"/>
    <w:pPr>
      <w:widowControl/>
      <w:spacing w:before="100" w:after="50" w:line="320" w:lineRule="exact"/>
      <w:ind w:left="350" w:hanging="200"/>
      <w:jc w:val="both"/>
    </w:pPr>
    <w:rPr>
      <w:rFonts w:eastAsia="華康粗黑體(P)"/>
      <w:kern w:val="0"/>
      <w:sz w:val="28"/>
    </w:rPr>
  </w:style>
  <w:style w:type="paragraph" w:customStyle="1" w:styleId="afff2">
    <w:name w:val="第一條內文"/>
    <w:basedOn w:val="a3"/>
    <w:pPr>
      <w:wordWrap w:val="0"/>
      <w:overflowPunct w:val="0"/>
      <w:autoSpaceDE w:val="0"/>
      <w:ind w:left="567"/>
    </w:pPr>
    <w:rPr>
      <w:rFonts w:ascii="全真楷書" w:eastAsia="華康楷書體W5" w:hAnsi="全真楷書"/>
      <w:kern w:val="0"/>
      <w:sz w:val="28"/>
    </w:rPr>
  </w:style>
  <w:style w:type="paragraph" w:customStyle="1" w:styleId="afff3">
    <w:name w:val="第二十一條"/>
    <w:basedOn w:val="afb"/>
  </w:style>
  <w:style w:type="paragraph" w:styleId="afff4">
    <w:name w:val="Salutation"/>
    <w:basedOn w:val="a3"/>
    <w:next w:val="a3"/>
    <w:rPr>
      <w:rFonts w:ascii="標楷體" w:eastAsia="標楷體" w:hAnsi="標楷體"/>
      <w:color w:val="000000"/>
      <w:sz w:val="28"/>
    </w:rPr>
  </w:style>
  <w:style w:type="paragraph" w:customStyle="1" w:styleId="32">
    <w:name w:val="內文 3"/>
    <w:autoRedefine/>
    <w:pPr>
      <w:widowControl w:val="0"/>
      <w:suppressAutoHyphens/>
      <w:jc w:val="both"/>
    </w:pPr>
    <w:rPr>
      <w:rFonts w:ascii="標楷體" w:eastAsia="標楷體" w:hAnsi="標楷體"/>
      <w:sz w:val="32"/>
      <w:szCs w:val="32"/>
    </w:rPr>
  </w:style>
  <w:style w:type="character" w:customStyle="1" w:styleId="33">
    <w:name w:val="內文 3 字元"/>
    <w:rPr>
      <w:rFonts w:ascii="標楷體" w:eastAsia="標楷體" w:hAnsi="標楷體"/>
      <w:sz w:val="32"/>
      <w:szCs w:val="32"/>
      <w:lang w:val="en-US" w:eastAsia="zh-TW" w:bidi="ar-SA"/>
    </w:rPr>
  </w:style>
  <w:style w:type="paragraph" w:customStyle="1" w:styleId="afff5">
    <w:name w:val="項一"/>
    <w:basedOn w:val="a3"/>
    <w:pPr>
      <w:snapToGrid w:val="0"/>
      <w:spacing w:line="240" w:lineRule="atLeast"/>
      <w:ind w:left="2251" w:hanging="567"/>
    </w:pPr>
    <w:rPr>
      <w:rFonts w:ascii="標楷體" w:eastAsia="標楷體" w:hAnsi="標楷體"/>
      <w:b/>
      <w:sz w:val="28"/>
      <w:u w:val="single"/>
    </w:rPr>
  </w:style>
  <w:style w:type="paragraph" w:customStyle="1" w:styleId="afff6">
    <w:name w:val="條文內文"/>
    <w:basedOn w:val="a9"/>
    <w:pPr>
      <w:snapToGrid w:val="0"/>
      <w:spacing w:line="240" w:lineRule="atLeast"/>
      <w:ind w:left="1418"/>
      <w:jc w:val="both"/>
    </w:pPr>
    <w:rPr>
      <w:rFonts w:ascii="雅真中楷" w:eastAsia="雅真中楷" w:hAnsi="雅真中楷"/>
      <w:sz w:val="28"/>
    </w:rPr>
  </w:style>
  <w:style w:type="paragraph" w:customStyle="1" w:styleId="afff7">
    <w:name w:val="文件標題"/>
    <w:basedOn w:val="a9"/>
    <w:pPr>
      <w:snapToGrid w:val="0"/>
      <w:spacing w:after="240" w:line="240" w:lineRule="atLeast"/>
      <w:ind w:left="1418"/>
    </w:pPr>
    <w:rPr>
      <w:rFonts w:ascii="雅真中楷" w:eastAsia="雅真中楷" w:hAnsi="雅真中楷"/>
      <w:b/>
      <w:sz w:val="48"/>
    </w:rPr>
  </w:style>
  <w:style w:type="character" w:customStyle="1" w:styleId="41">
    <w:name w:val="標題 4 字元"/>
    <w:rPr>
      <w:rFonts w:ascii="標楷體" w:eastAsia="標楷體" w:hAnsi="標楷體"/>
      <w:kern w:val="3"/>
      <w:sz w:val="26"/>
      <w:szCs w:val="26"/>
      <w:lang w:val="en-US" w:eastAsia="zh-TW" w:bidi="ar-SA"/>
    </w:rPr>
  </w:style>
  <w:style w:type="paragraph" w:customStyle="1" w:styleId="110">
    <w:name w:val="1.1文 字元"/>
    <w:basedOn w:val="a3"/>
    <w:pPr>
      <w:keepNext/>
      <w:snapToGrid w:val="0"/>
      <w:spacing w:line="420" w:lineRule="atLeast"/>
      <w:ind w:left="567"/>
      <w:jc w:val="both"/>
    </w:pPr>
    <w:rPr>
      <w:rFonts w:ascii="華康楷書體W5" w:eastAsia="華康楷書體W5" w:hAnsi="華康楷書體W5"/>
      <w:szCs w:val="26"/>
    </w:rPr>
  </w:style>
  <w:style w:type="paragraph" w:customStyle="1" w:styleId="111">
    <w:name w:val="1.1.1文"/>
    <w:basedOn w:val="a3"/>
    <w:pPr>
      <w:keepNext/>
      <w:snapToGrid w:val="0"/>
      <w:spacing w:line="420" w:lineRule="atLeast"/>
      <w:ind w:left="850"/>
      <w:jc w:val="both"/>
    </w:pPr>
    <w:rPr>
      <w:rFonts w:ascii="標楷體" w:eastAsia="標楷體" w:hAnsi="標楷體"/>
      <w:szCs w:val="26"/>
    </w:rPr>
  </w:style>
  <w:style w:type="character" w:styleId="afff8">
    <w:name w:val="FollowedHyperlink"/>
    <w:rPr>
      <w:color w:val="800080"/>
      <w:u w:val="single"/>
    </w:rPr>
  </w:style>
  <w:style w:type="paragraph" w:customStyle="1" w:styleId="112">
    <w:name w:val="樣式1.1"/>
    <w:basedOn w:val="a3"/>
    <w:pPr>
      <w:keepNext/>
      <w:snapToGrid w:val="0"/>
      <w:spacing w:line="420" w:lineRule="atLeast"/>
      <w:ind w:left="179"/>
    </w:pPr>
    <w:rPr>
      <w:rFonts w:ascii="Arial" w:eastAsia="標楷體" w:hAnsi="Arial"/>
      <w:szCs w:val="26"/>
    </w:rPr>
  </w:style>
  <w:style w:type="paragraph" w:customStyle="1" w:styleId="141">
    <w:name w:val="14.1"/>
    <w:basedOn w:val="a3"/>
    <w:autoRedefine/>
    <w:pPr>
      <w:numPr>
        <w:numId w:val="7"/>
      </w:numPr>
      <w:spacing w:line="480" w:lineRule="exact"/>
      <w:jc w:val="both"/>
    </w:pPr>
    <w:rPr>
      <w:rFonts w:eastAsia="標楷體"/>
      <w:b/>
      <w:sz w:val="28"/>
      <w:szCs w:val="28"/>
    </w:rPr>
  </w:style>
  <w:style w:type="paragraph" w:customStyle="1" w:styleId="1011">
    <w:name w:val="10.1.1文"/>
    <w:basedOn w:val="111"/>
    <w:pPr>
      <w:keepNext w:val="0"/>
      <w:snapToGrid/>
      <w:spacing w:line="480" w:lineRule="exact"/>
      <w:ind w:left="734" w:hanging="734"/>
    </w:pPr>
    <w:rPr>
      <w:rFonts w:ascii="Times New Roman" w:hAnsi="Times New Roman"/>
      <w:bCs/>
      <w:sz w:val="28"/>
      <w:szCs w:val="28"/>
    </w:rPr>
  </w:style>
  <w:style w:type="paragraph" w:customStyle="1" w:styleId="151">
    <w:name w:val="15.1"/>
    <w:basedOn w:val="a3"/>
    <w:autoRedefine/>
    <w:pPr>
      <w:numPr>
        <w:numId w:val="8"/>
      </w:numPr>
      <w:spacing w:line="480" w:lineRule="exact"/>
      <w:jc w:val="both"/>
    </w:pPr>
    <w:rPr>
      <w:rFonts w:eastAsia="標楷體"/>
      <w:b/>
      <w:sz w:val="28"/>
      <w:szCs w:val="28"/>
    </w:rPr>
  </w:style>
  <w:style w:type="paragraph" w:customStyle="1" w:styleId="afff9">
    <w:name w:val="項內文"/>
    <w:basedOn w:val="a3"/>
    <w:pPr>
      <w:spacing w:line="480" w:lineRule="exact"/>
      <w:ind w:firstLine="560"/>
      <w:jc w:val="both"/>
    </w:pPr>
    <w:rPr>
      <w:rFonts w:eastAsia="標楷體" w:cs="新細明體"/>
      <w:sz w:val="28"/>
    </w:rPr>
  </w:style>
  <w:style w:type="paragraph" w:customStyle="1" w:styleId="161">
    <w:name w:val="16.1"/>
    <w:basedOn w:val="a3"/>
    <w:autoRedefine/>
    <w:pPr>
      <w:spacing w:line="480" w:lineRule="exact"/>
      <w:jc w:val="both"/>
    </w:pPr>
    <w:rPr>
      <w:rFonts w:eastAsia="標楷體"/>
      <w:b/>
      <w:szCs w:val="24"/>
    </w:rPr>
  </w:style>
  <w:style w:type="character" w:styleId="afffa">
    <w:name w:val="annotation reference"/>
    <w:rPr>
      <w:sz w:val="18"/>
      <w:szCs w:val="18"/>
    </w:rPr>
  </w:style>
  <w:style w:type="paragraph" w:styleId="afffb">
    <w:name w:val="annotation text"/>
    <w:basedOn w:val="a3"/>
    <w:pPr>
      <w:keepNext/>
      <w:snapToGrid w:val="0"/>
      <w:spacing w:line="420" w:lineRule="atLeast"/>
    </w:pPr>
    <w:rPr>
      <w:rFonts w:ascii="標楷體" w:eastAsia="標楷體" w:hAnsi="標楷體"/>
      <w:sz w:val="26"/>
      <w:szCs w:val="26"/>
    </w:rPr>
  </w:style>
  <w:style w:type="paragraph" w:styleId="afffc">
    <w:name w:val="annotation subject"/>
    <w:basedOn w:val="afffb"/>
    <w:next w:val="afffb"/>
    <w:rPr>
      <w:b/>
      <w:bCs/>
    </w:rPr>
  </w:style>
  <w:style w:type="paragraph" w:customStyle="1" w:styleId="1110">
    <w:name w:val="1.1.1段"/>
    <w:basedOn w:val="a3"/>
    <w:pPr>
      <w:snapToGrid w:val="0"/>
      <w:spacing w:line="400" w:lineRule="atLeast"/>
      <w:ind w:left="732"/>
      <w:jc w:val="both"/>
    </w:pPr>
    <w:rPr>
      <w:rFonts w:eastAsia="標楷體"/>
      <w:kern w:val="0"/>
    </w:rPr>
  </w:style>
  <w:style w:type="paragraph" w:customStyle="1" w:styleId="1111">
    <w:name w:val="1.1.1後文字"/>
    <w:pPr>
      <w:widowControl w:val="0"/>
      <w:tabs>
        <w:tab w:val="left" w:pos="742"/>
      </w:tabs>
      <w:suppressAutoHyphens/>
      <w:snapToGrid w:val="0"/>
      <w:spacing w:before="30"/>
      <w:ind w:left="530"/>
      <w:jc w:val="both"/>
    </w:pPr>
    <w:rPr>
      <w:rFonts w:ascii="Arial" w:eastAsia="標楷體" w:hAnsi="Arial"/>
      <w:sz w:val="28"/>
      <w:szCs w:val="28"/>
    </w:rPr>
  </w:style>
  <w:style w:type="paragraph" w:customStyle="1" w:styleId="11110">
    <w:name w:val="1.1.1.1"/>
    <w:basedOn w:val="1111"/>
    <w:pPr>
      <w:tabs>
        <w:tab w:val="left" w:pos="1458"/>
      </w:tabs>
      <w:ind w:left="1458" w:right="-48" w:hanging="1004"/>
    </w:pPr>
  </w:style>
  <w:style w:type="paragraph" w:customStyle="1" w:styleId="113">
    <w:name w:val="1.1後文字 字元"/>
    <w:basedOn w:val="110"/>
    <w:pPr>
      <w:snapToGrid/>
      <w:spacing w:line="240" w:lineRule="auto"/>
      <w:ind w:left="330"/>
    </w:pPr>
    <w:rPr>
      <w:rFonts w:ascii="Arial" w:eastAsia="標楷體" w:hAnsi="Arial"/>
      <w:sz w:val="28"/>
      <w:szCs w:val="28"/>
    </w:rPr>
  </w:style>
  <w:style w:type="character" w:customStyle="1" w:styleId="114">
    <w:name w:val="1.1文 字元 字元"/>
    <w:rPr>
      <w:rFonts w:ascii="華康楷書體W5" w:eastAsia="華康楷書體W5" w:hAnsi="華康楷書體W5"/>
      <w:kern w:val="3"/>
      <w:sz w:val="24"/>
      <w:szCs w:val="26"/>
      <w:lang w:val="en-US" w:eastAsia="zh-TW" w:bidi="ar-SA"/>
    </w:rPr>
  </w:style>
  <w:style w:type="character" w:customStyle="1" w:styleId="115">
    <w:name w:val="1.1後文字 字元 字元 字元"/>
    <w:rPr>
      <w:rFonts w:ascii="Arial" w:eastAsia="標楷體" w:hAnsi="Arial"/>
      <w:kern w:val="3"/>
      <w:sz w:val="28"/>
      <w:szCs w:val="28"/>
      <w:lang w:val="en-US" w:eastAsia="zh-TW" w:bidi="ar-SA"/>
    </w:rPr>
  </w:style>
  <w:style w:type="paragraph" w:customStyle="1" w:styleId="11111">
    <w:name w:val="1.1.1後小標1文字"/>
    <w:basedOn w:val="1111"/>
    <w:pPr>
      <w:ind w:left="480"/>
    </w:pPr>
  </w:style>
  <w:style w:type="paragraph" w:styleId="afffd">
    <w:name w:val="List"/>
    <w:basedOn w:val="a3"/>
    <w:pPr>
      <w:spacing w:line="360" w:lineRule="atLeast"/>
      <w:ind w:left="200" w:hanging="200"/>
    </w:pPr>
    <w:rPr>
      <w:rFonts w:eastAsia="標楷體"/>
      <w:b/>
      <w:kern w:val="0"/>
      <w:sz w:val="28"/>
    </w:rPr>
  </w:style>
  <w:style w:type="paragraph" w:customStyle="1" w:styleId="11112">
    <w:name w:val="1.1.1.1後內文"/>
    <w:basedOn w:val="a3"/>
    <w:pPr>
      <w:ind w:left="700"/>
    </w:pPr>
    <w:rPr>
      <w:rFonts w:ascii="Arial" w:eastAsia="標楷體" w:hAnsi="Arial" w:cs="新細明體"/>
      <w:szCs w:val="24"/>
    </w:rPr>
  </w:style>
  <w:style w:type="character" w:customStyle="1" w:styleId="11113">
    <w:name w:val="1.1.1.1後內文 字元"/>
    <w:rPr>
      <w:rFonts w:ascii="Arial" w:eastAsia="標楷體" w:hAnsi="Arial" w:cs="新細明體"/>
      <w:kern w:val="3"/>
      <w:sz w:val="24"/>
      <w:szCs w:val="24"/>
      <w:lang w:val="en-US" w:eastAsia="zh-TW" w:bidi="ar-SA"/>
    </w:rPr>
  </w:style>
  <w:style w:type="paragraph" w:customStyle="1" w:styleId="1112">
    <w:name w:val="1.1.1後內文"/>
    <w:basedOn w:val="a3"/>
    <w:pPr>
      <w:ind w:left="350"/>
    </w:pPr>
    <w:rPr>
      <w:rFonts w:eastAsia="標楷體"/>
      <w:kern w:val="0"/>
    </w:rPr>
  </w:style>
  <w:style w:type="character" w:customStyle="1" w:styleId="1113">
    <w:name w:val="1.1.1後內文 字元"/>
    <w:rPr>
      <w:rFonts w:eastAsia="標楷體"/>
      <w:sz w:val="24"/>
      <w:lang w:val="en-US" w:eastAsia="zh-TW" w:bidi="ar-SA"/>
    </w:rPr>
  </w:style>
  <w:style w:type="paragraph" w:styleId="52">
    <w:name w:val="List 5"/>
    <w:basedOn w:val="a3"/>
    <w:pPr>
      <w:keepNext/>
      <w:snapToGrid w:val="0"/>
      <w:ind w:left="200" w:hanging="200"/>
    </w:pPr>
    <w:rPr>
      <w:rFonts w:ascii="標楷體" w:eastAsia="標楷體" w:hAnsi="標楷體"/>
      <w:sz w:val="26"/>
      <w:szCs w:val="26"/>
    </w:rPr>
  </w:style>
  <w:style w:type="paragraph" w:styleId="afffe">
    <w:name w:val="table of figures"/>
    <w:basedOn w:val="a3"/>
    <w:next w:val="a3"/>
    <w:pPr>
      <w:keepNext/>
      <w:snapToGrid w:val="0"/>
      <w:spacing w:line="420" w:lineRule="atLeast"/>
      <w:ind w:hanging="200"/>
      <w:jc w:val="both"/>
    </w:pPr>
    <w:rPr>
      <w:rFonts w:ascii="標楷體" w:eastAsia="標楷體" w:hAnsi="標楷體"/>
      <w:szCs w:val="26"/>
    </w:rPr>
  </w:style>
  <w:style w:type="paragraph" w:styleId="53">
    <w:name w:val="List Continue 5"/>
    <w:basedOn w:val="a3"/>
    <w:pPr>
      <w:keepNext/>
      <w:snapToGrid w:val="0"/>
      <w:spacing w:after="120" w:line="420" w:lineRule="atLeast"/>
      <w:ind w:left="2400"/>
      <w:jc w:val="both"/>
    </w:pPr>
    <w:rPr>
      <w:rFonts w:ascii="標楷體" w:eastAsia="標楷體" w:hAnsi="標楷體"/>
      <w:sz w:val="26"/>
      <w:szCs w:val="26"/>
    </w:rPr>
  </w:style>
  <w:style w:type="paragraph" w:customStyle="1" w:styleId="CONT-2">
    <w:name w:val="CONT-2"/>
    <w:basedOn w:val="a3"/>
    <w:pPr>
      <w:spacing w:line="480" w:lineRule="atLeast"/>
      <w:ind w:left="284" w:firstLine="567"/>
      <w:jc w:val="both"/>
    </w:pPr>
    <w:rPr>
      <w:rFonts w:eastAsia="標楷體"/>
      <w:kern w:val="0"/>
      <w:sz w:val="28"/>
    </w:rPr>
  </w:style>
  <w:style w:type="paragraph" w:customStyle="1" w:styleId="16">
    <w:name w:val="樣式1"/>
    <w:basedOn w:val="a3"/>
    <w:pPr>
      <w:snapToGrid w:val="0"/>
      <w:spacing w:line="420" w:lineRule="atLeast"/>
      <w:jc w:val="both"/>
    </w:pPr>
    <w:rPr>
      <w:rFonts w:ascii="Arial" w:eastAsia="標楷體" w:hAnsi="Arial" w:cs="Arial"/>
      <w:szCs w:val="28"/>
    </w:rPr>
  </w:style>
  <w:style w:type="character" w:customStyle="1" w:styleId="affff">
    <w:name w:val="一 字元"/>
    <w:rPr>
      <w:rFonts w:ascii="華康細明體" w:eastAsia="華康細明體" w:hAnsi="華康細明體"/>
      <w:spacing w:val="10"/>
      <w:sz w:val="28"/>
      <w:lang w:val="en-US" w:eastAsia="zh-TW" w:bidi="ar-SA"/>
    </w:rPr>
  </w:style>
  <w:style w:type="paragraph" w:customStyle="1" w:styleId="1114">
    <w:name w:val="1.1.1 內文"/>
    <w:basedOn w:val="a3"/>
    <w:pPr>
      <w:ind w:left="375"/>
      <w:jc w:val="both"/>
    </w:pPr>
    <w:rPr>
      <w:rFonts w:ascii="Arial" w:eastAsia="標楷體" w:hAnsi="Arial" w:cs="新細明體"/>
      <w:sz w:val="26"/>
    </w:rPr>
  </w:style>
  <w:style w:type="paragraph" w:customStyle="1" w:styleId="font5">
    <w:name w:val="font5"/>
    <w:basedOn w:val="a3"/>
    <w:pPr>
      <w:widowControl/>
      <w:spacing w:before="100" w:after="100"/>
    </w:pPr>
    <w:rPr>
      <w:rFonts w:ascii="新細明體" w:hAnsi="新細明體" w:cs="新細明體"/>
      <w:kern w:val="0"/>
      <w:sz w:val="18"/>
      <w:szCs w:val="18"/>
    </w:rPr>
  </w:style>
  <w:style w:type="paragraph" w:customStyle="1" w:styleId="font6">
    <w:name w:val="font6"/>
    <w:basedOn w:val="a3"/>
    <w:pPr>
      <w:widowControl/>
      <w:spacing w:before="100" w:after="100"/>
    </w:pPr>
    <w:rPr>
      <w:rFonts w:ascii="細明體" w:eastAsia="細明體" w:hAnsi="細明體" w:cs="新細明體"/>
      <w:color w:val="000000"/>
      <w:kern w:val="0"/>
      <w:sz w:val="18"/>
      <w:szCs w:val="18"/>
    </w:rPr>
  </w:style>
  <w:style w:type="paragraph" w:customStyle="1" w:styleId="xl28">
    <w:name w:val="xl28"/>
    <w:basedOn w:val="a3"/>
    <w:pPr>
      <w:widowControl/>
      <w:pBdr>
        <w:top w:val="single" w:sz="4" w:space="0" w:color="000000"/>
        <w:left w:val="single" w:sz="4" w:space="0" w:color="000000"/>
        <w:bottom w:val="single" w:sz="4" w:space="0" w:color="000000"/>
        <w:right w:val="single" w:sz="4" w:space="0" w:color="000000"/>
      </w:pBdr>
      <w:spacing w:before="100" w:after="100"/>
    </w:pPr>
    <w:rPr>
      <w:kern w:val="0"/>
      <w:sz w:val="20"/>
    </w:rPr>
  </w:style>
  <w:style w:type="paragraph" w:customStyle="1" w:styleId="xl29">
    <w:name w:val="xl29"/>
    <w:basedOn w:val="a3"/>
    <w:pPr>
      <w:widowControl/>
      <w:pBdr>
        <w:top w:val="single" w:sz="4" w:space="0" w:color="000000"/>
        <w:left w:val="single" w:sz="4" w:space="0" w:color="000000"/>
        <w:bottom w:val="single" w:sz="4" w:space="0" w:color="000000"/>
        <w:right w:val="single" w:sz="4" w:space="0" w:color="000000"/>
      </w:pBdr>
      <w:spacing w:before="100" w:after="100"/>
    </w:pPr>
    <w:rPr>
      <w:kern w:val="0"/>
      <w:sz w:val="20"/>
    </w:rPr>
  </w:style>
  <w:style w:type="paragraph" w:customStyle="1" w:styleId="xl30">
    <w:name w:val="xl30"/>
    <w:basedOn w:val="a3"/>
    <w:pPr>
      <w:widowControl/>
      <w:pBdr>
        <w:top w:val="single" w:sz="4" w:space="0" w:color="000000"/>
        <w:left w:val="single" w:sz="4" w:space="0" w:color="000000"/>
        <w:bottom w:val="single" w:sz="4" w:space="0" w:color="000000"/>
        <w:right w:val="single" w:sz="4" w:space="0" w:color="000000"/>
      </w:pBdr>
      <w:spacing w:before="100" w:after="100"/>
      <w:jc w:val="center"/>
    </w:pPr>
    <w:rPr>
      <w:kern w:val="0"/>
      <w:sz w:val="20"/>
    </w:rPr>
  </w:style>
  <w:style w:type="paragraph" w:customStyle="1" w:styleId="xl31">
    <w:name w:val="xl31"/>
    <w:basedOn w:val="a3"/>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0"/>
    </w:rPr>
  </w:style>
  <w:style w:type="paragraph" w:customStyle="1" w:styleId="xl32">
    <w:name w:val="xl32"/>
    <w:basedOn w:val="a3"/>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kern w:val="0"/>
      <w:sz w:val="20"/>
    </w:rPr>
  </w:style>
  <w:style w:type="paragraph" w:customStyle="1" w:styleId="xl33">
    <w:name w:val="xl33"/>
    <w:basedOn w:val="a3"/>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34">
    <w:name w:val="xl34"/>
    <w:basedOn w:val="a3"/>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0"/>
    </w:rPr>
  </w:style>
  <w:style w:type="paragraph" w:customStyle="1" w:styleId="xl35">
    <w:name w:val="xl35"/>
    <w:basedOn w:val="a3"/>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0"/>
    </w:rPr>
  </w:style>
  <w:style w:type="paragraph" w:customStyle="1" w:styleId="xl36">
    <w:name w:val="xl36"/>
    <w:basedOn w:val="a3"/>
    <w:pPr>
      <w:widowControl/>
      <w:pBdr>
        <w:top w:val="single" w:sz="4" w:space="0" w:color="000000"/>
        <w:left w:val="single" w:sz="4" w:space="0" w:color="000000"/>
        <w:bottom w:val="single" w:sz="4" w:space="0" w:color="000000"/>
        <w:right w:val="single" w:sz="4" w:space="0" w:color="000000"/>
      </w:pBdr>
      <w:spacing w:before="100" w:after="100"/>
    </w:pPr>
    <w:rPr>
      <w:kern w:val="0"/>
      <w:sz w:val="20"/>
    </w:rPr>
  </w:style>
  <w:style w:type="paragraph" w:customStyle="1" w:styleId="xl37">
    <w:name w:val="xl37"/>
    <w:basedOn w:val="a3"/>
    <w:pPr>
      <w:widowControl/>
      <w:pBdr>
        <w:top w:val="single" w:sz="4" w:space="0" w:color="000000"/>
        <w:left w:val="single" w:sz="4" w:space="0" w:color="000000"/>
        <w:bottom w:val="single" w:sz="4" w:space="0" w:color="000000"/>
        <w:right w:val="single" w:sz="4" w:space="0" w:color="000000"/>
      </w:pBdr>
      <w:spacing w:before="100" w:after="100"/>
    </w:pPr>
    <w:rPr>
      <w:kern w:val="0"/>
      <w:sz w:val="20"/>
    </w:rPr>
  </w:style>
  <w:style w:type="paragraph" w:customStyle="1" w:styleId="xl38">
    <w:name w:val="xl38"/>
    <w:basedOn w:val="a3"/>
    <w:pPr>
      <w:widowControl/>
      <w:pBdr>
        <w:top w:val="single" w:sz="4" w:space="0" w:color="000000"/>
        <w:left w:val="single" w:sz="4" w:space="0" w:color="000000"/>
        <w:bottom w:val="single" w:sz="4" w:space="0" w:color="000000"/>
        <w:right w:val="single" w:sz="4" w:space="0" w:color="000000"/>
      </w:pBdr>
      <w:spacing w:before="100" w:after="100"/>
      <w:jc w:val="center"/>
      <w:textAlignment w:val="bottom"/>
    </w:pPr>
    <w:rPr>
      <w:kern w:val="0"/>
      <w:sz w:val="20"/>
    </w:rPr>
  </w:style>
  <w:style w:type="paragraph" w:customStyle="1" w:styleId="xl39">
    <w:name w:val="xl39"/>
    <w:basedOn w:val="a3"/>
    <w:pPr>
      <w:widowControl/>
      <w:pBdr>
        <w:top w:val="single" w:sz="4" w:space="0" w:color="000000"/>
        <w:left w:val="single" w:sz="4" w:space="0" w:color="000000"/>
        <w:bottom w:val="single" w:sz="4" w:space="0" w:color="000000"/>
        <w:right w:val="single" w:sz="4" w:space="0" w:color="000000"/>
      </w:pBdr>
      <w:spacing w:before="100" w:after="100"/>
    </w:pPr>
    <w:rPr>
      <w:kern w:val="0"/>
      <w:sz w:val="20"/>
    </w:rPr>
  </w:style>
  <w:style w:type="paragraph" w:customStyle="1" w:styleId="xl40">
    <w:name w:val="xl40"/>
    <w:basedOn w:val="a3"/>
    <w:pPr>
      <w:widowControl/>
      <w:pBdr>
        <w:top w:val="single" w:sz="4" w:space="0" w:color="000000"/>
        <w:left w:val="single" w:sz="4" w:space="0" w:color="000000"/>
        <w:bottom w:val="single" w:sz="4" w:space="0" w:color="000000"/>
        <w:right w:val="single" w:sz="4" w:space="0" w:color="000000"/>
      </w:pBdr>
      <w:spacing w:before="100" w:after="100"/>
      <w:jc w:val="center"/>
    </w:pPr>
    <w:rPr>
      <w:rFonts w:ascii="新細明體" w:hAnsi="新細明體" w:cs="新細明體"/>
      <w:kern w:val="0"/>
      <w:sz w:val="20"/>
    </w:rPr>
  </w:style>
  <w:style w:type="paragraph" w:customStyle="1" w:styleId="xl41">
    <w:name w:val="xl41"/>
    <w:basedOn w:val="a3"/>
    <w:pPr>
      <w:widowControl/>
      <w:pBdr>
        <w:top w:val="single" w:sz="4" w:space="0" w:color="000000"/>
        <w:left w:val="single" w:sz="4" w:space="0" w:color="000000"/>
        <w:bottom w:val="single" w:sz="4" w:space="0" w:color="000000"/>
        <w:right w:val="single" w:sz="4" w:space="0" w:color="000000"/>
      </w:pBdr>
      <w:spacing w:before="100" w:after="100"/>
      <w:jc w:val="center"/>
    </w:pPr>
    <w:rPr>
      <w:rFonts w:ascii="標楷體" w:eastAsia="標楷體" w:hAnsi="標楷體" w:cs="新細明體"/>
      <w:kern w:val="0"/>
      <w:sz w:val="20"/>
    </w:rPr>
  </w:style>
  <w:style w:type="paragraph" w:customStyle="1" w:styleId="xl42">
    <w:name w:val="xl42"/>
    <w:basedOn w:val="a3"/>
    <w:pPr>
      <w:widowControl/>
      <w:pBdr>
        <w:top w:val="single" w:sz="4" w:space="0" w:color="000000"/>
        <w:left w:val="single" w:sz="4" w:space="0" w:color="000000"/>
        <w:bottom w:val="single" w:sz="4" w:space="0" w:color="000000"/>
        <w:right w:val="single" w:sz="4" w:space="0" w:color="000000"/>
      </w:pBdr>
      <w:spacing w:before="100" w:after="100"/>
    </w:pPr>
    <w:rPr>
      <w:rFonts w:ascii="標楷體" w:eastAsia="標楷體" w:hAnsi="標楷體" w:cs="新細明體"/>
      <w:b/>
      <w:bCs/>
      <w:kern w:val="0"/>
      <w:sz w:val="20"/>
    </w:rPr>
  </w:style>
  <w:style w:type="paragraph" w:customStyle="1" w:styleId="affff0">
    <w:name w:val="表文"/>
    <w:basedOn w:val="a3"/>
    <w:pPr>
      <w:widowControl/>
      <w:spacing w:line="240" w:lineRule="atLeast"/>
    </w:pPr>
    <w:rPr>
      <w:rFonts w:eastAsia="華康楷書體W5(P)"/>
      <w:sz w:val="16"/>
    </w:rPr>
  </w:style>
  <w:style w:type="paragraph" w:customStyle="1" w:styleId="34">
    <w:name w:val="縮凸3"/>
    <w:basedOn w:val="a3"/>
    <w:pPr>
      <w:spacing w:line="320" w:lineRule="exact"/>
      <w:ind w:left="660" w:hanging="660"/>
      <w:jc w:val="both"/>
    </w:pPr>
    <w:rPr>
      <w:rFonts w:eastAsia="標楷體"/>
      <w:sz w:val="22"/>
      <w:szCs w:val="24"/>
    </w:rPr>
  </w:style>
  <w:style w:type="paragraph" w:styleId="Web">
    <w:name w:val="Normal (Web)"/>
    <w:basedOn w:val="a3"/>
    <w:pPr>
      <w:widowControl/>
      <w:spacing w:before="100" w:after="100"/>
    </w:pPr>
    <w:rPr>
      <w:rFonts w:ascii="新細明體" w:hAnsi="新細明體"/>
      <w:kern w:val="0"/>
      <w:szCs w:val="24"/>
    </w:rPr>
  </w:style>
  <w:style w:type="paragraph" w:customStyle="1" w:styleId="affff1">
    <w:name w:val="齊"/>
    <w:basedOn w:val="a3"/>
    <w:pPr>
      <w:widowControl/>
      <w:spacing w:line="320" w:lineRule="exact"/>
      <w:jc w:val="both"/>
    </w:pPr>
    <w:rPr>
      <w:rFonts w:eastAsia="華康楷書體W5(P)"/>
      <w:kern w:val="0"/>
      <w:sz w:val="22"/>
    </w:rPr>
  </w:style>
  <w:style w:type="paragraph" w:customStyle="1" w:styleId="510">
    <w:name w:val="縮5凸1"/>
    <w:basedOn w:val="afb"/>
    <w:pPr>
      <w:wordWrap/>
      <w:overflowPunct/>
      <w:autoSpaceDE/>
      <w:spacing w:line="320" w:lineRule="exact"/>
      <w:ind w:left="1320" w:hanging="220"/>
      <w:jc w:val="both"/>
      <w:textAlignment w:val="auto"/>
    </w:pPr>
    <w:rPr>
      <w:rFonts w:ascii="標楷體" w:eastAsia="標楷體" w:hAnsi="標楷體"/>
      <w:kern w:val="3"/>
      <w:sz w:val="22"/>
      <w:szCs w:val="24"/>
    </w:rPr>
  </w:style>
  <w:style w:type="paragraph" w:customStyle="1" w:styleId="affff2">
    <w:name w:val="黑體凸２"/>
    <w:basedOn w:val="a3"/>
    <w:pPr>
      <w:widowControl/>
      <w:spacing w:before="100" w:after="50" w:line="320" w:lineRule="exact"/>
      <w:ind w:left="350" w:hanging="200"/>
      <w:jc w:val="both"/>
    </w:pPr>
    <w:rPr>
      <w:rFonts w:eastAsia="華康粗黑體(P)"/>
      <w:kern w:val="0"/>
      <w:sz w:val="28"/>
    </w:rPr>
  </w:style>
  <w:style w:type="paragraph" w:customStyle="1" w:styleId="affff3">
    <w:name w:val="齊前後"/>
    <w:basedOn w:val="affff1"/>
    <w:pPr>
      <w:spacing w:before="50" w:after="50"/>
    </w:pPr>
  </w:style>
  <w:style w:type="character" w:customStyle="1" w:styleId="affff4">
    <w:name w:val="本文 字元"/>
    <w:rPr>
      <w:rFonts w:ascii="新細明體" w:hAnsi="新細明體"/>
      <w:sz w:val="24"/>
      <w:szCs w:val="33"/>
    </w:rPr>
  </w:style>
  <w:style w:type="character" w:customStyle="1" w:styleId="affff5">
    <w:name w:val="頁尾 字元"/>
    <w:rPr>
      <w:kern w:val="3"/>
    </w:rPr>
  </w:style>
  <w:style w:type="character" w:customStyle="1" w:styleId="affff6">
    <w:name w:val="註解方塊文字 字元"/>
    <w:rPr>
      <w:rFonts w:ascii="Arial" w:hAnsi="Arial"/>
      <w:kern w:val="3"/>
      <w:sz w:val="18"/>
      <w:szCs w:val="18"/>
    </w:rPr>
  </w:style>
  <w:style w:type="numbering" w:customStyle="1" w:styleId="a0">
    <w:name w:val="樣式 編號 (中文) 標楷體"/>
    <w:basedOn w:val="a6"/>
    <w:pPr>
      <w:numPr>
        <w:numId w:val="2"/>
      </w:numPr>
    </w:pPr>
  </w:style>
  <w:style w:type="numbering" w:customStyle="1" w:styleId="LFO1">
    <w:name w:val="LFO1"/>
    <w:basedOn w:val="a6"/>
    <w:pPr>
      <w:numPr>
        <w:numId w:val="3"/>
      </w:numPr>
    </w:pPr>
  </w:style>
  <w:style w:type="numbering" w:customStyle="1" w:styleId="LFO2">
    <w:name w:val="LFO2"/>
    <w:basedOn w:val="a6"/>
    <w:pPr>
      <w:numPr>
        <w:numId w:val="4"/>
      </w:numPr>
    </w:pPr>
  </w:style>
  <w:style w:type="numbering" w:customStyle="1" w:styleId="LFO3">
    <w:name w:val="LFO3"/>
    <w:basedOn w:val="a6"/>
    <w:pPr>
      <w:numPr>
        <w:numId w:val="5"/>
      </w:numPr>
    </w:pPr>
  </w:style>
  <w:style w:type="numbering" w:customStyle="1" w:styleId="LFO5">
    <w:name w:val="LFO5"/>
    <w:basedOn w:val="a6"/>
    <w:pPr>
      <w:numPr>
        <w:numId w:val="6"/>
      </w:numPr>
    </w:pPr>
  </w:style>
  <w:style w:type="numbering" w:customStyle="1" w:styleId="LFO6">
    <w:name w:val="LFO6"/>
    <w:basedOn w:val="a6"/>
    <w:pPr>
      <w:numPr>
        <w:numId w:val="7"/>
      </w:numPr>
    </w:pPr>
  </w:style>
  <w:style w:type="numbering" w:customStyle="1" w:styleId="LFO7">
    <w:name w:val="LFO7"/>
    <w:basedOn w:val="a6"/>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1750</Words>
  <Characters>9979</Characters>
  <Application>Microsoft Office Word</Application>
  <DocSecurity>0</DocSecurity>
  <Lines>83</Lines>
  <Paragraphs>23</Paragraphs>
  <ScaleCrop>false</ScaleCrop>
  <Company/>
  <LinksUpToDate>false</LinksUpToDate>
  <CharactersWithSpaces>11706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臺北市相關法令諮詢及解釋彙編    目   錄</dc:title>
  <dc:subject/>
  <dc:creator>May</dc:creator>
  <cp:lastModifiedBy>User</cp:lastModifiedBy>
  <cp:revision>3</cp:revision>
  <cp:lastPrinted>2021-08-25T01:41:00Z</cp:lastPrinted>
  <dcterms:created xsi:type="dcterms:W3CDTF">2023-02-17T09:12:00Z</dcterms:created>
  <dcterms:modified xsi:type="dcterms:W3CDTF">2023-02-18T02:37:00Z</dcterms:modified>
</cp:coreProperties>
</file>