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776" w:rsidRDefault="00CE544E">
      <w:pPr>
        <w:snapToGrid w:val="0"/>
        <w:jc w:val="center"/>
      </w:pPr>
      <w:r>
        <w:rPr>
          <w:rFonts w:eastAsia="標楷體"/>
          <w:noProof/>
          <w:spacing w:val="20"/>
          <w:sz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4961250</wp:posOffset>
                </wp:positionH>
                <wp:positionV relativeFrom="paragraph">
                  <wp:posOffset>-46991</wp:posOffset>
                </wp:positionV>
                <wp:extent cx="1524003" cy="342900"/>
                <wp:effectExtent l="19050" t="19050" r="19047" b="19050"/>
                <wp:wrapTight wrapText="bothSides">
                  <wp:wrapPolygon edited="0">
                    <wp:start x="-270" y="-1200"/>
                    <wp:lineTo x="-270" y="21600"/>
                    <wp:lineTo x="21600" y="21600"/>
                    <wp:lineTo x="21600" y="-1200"/>
                    <wp:lineTo x="-270" y="-1200"/>
                  </wp:wrapPolygon>
                </wp:wrapTight>
                <wp:docPr id="1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3" cy="342900"/>
                        </a:xfrm>
                        <a:prstGeom prst="rect">
                          <a:avLst/>
                        </a:prstGeom>
                        <a:noFill/>
                        <a:ln w="381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24776" w:rsidRDefault="00CE544E">
                            <w:pPr>
                              <w:snapToGrid w:val="0"/>
                              <w:jc w:val="center"/>
                              <w:rPr>
                                <w:rFonts w:eastAsia="標楷體"/>
                                <w:spacing w:val="20"/>
                              </w:rPr>
                            </w:pPr>
                            <w:r>
                              <w:rPr>
                                <w:rFonts w:eastAsia="標楷體"/>
                                <w:spacing w:val="20"/>
                              </w:rPr>
                              <w:t>請詳閱招標文件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left:0;text-align:left;margin-left:390.65pt;margin-top:-3.7pt;width:120pt;height:2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" filled="f" strokeweight="1.0584mm">
                <v:textbox>
                  <w:txbxContent>
                    <w:p w:rsidR="00B24776" w:rsidRDefault="00CE544E">
                      <w:pPr>
                        <w:snapToGrid w:val="0"/>
                        <w:jc w:val="center"/>
                        <w:rPr>
                          <w:rFonts w:eastAsia="標楷體"/>
                          <w:spacing w:val="20"/>
                        </w:rPr>
                      </w:pPr>
                      <w:r>
                        <w:rPr>
                          <w:rFonts w:eastAsia="標楷體"/>
                          <w:spacing w:val="20"/>
                        </w:rPr>
                        <w:t>請詳閱招標文件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B24776" w:rsidRDefault="00CE544E">
      <w:pPr>
        <w:snapToGrid w:val="0"/>
        <w:jc w:val="center"/>
        <w:rPr>
          <w:rFonts w:eastAsia="標楷體"/>
          <w:b/>
          <w:sz w:val="36"/>
        </w:rPr>
      </w:pPr>
      <w:r>
        <w:rPr>
          <w:rFonts w:eastAsia="標楷體"/>
          <w:b/>
          <w:sz w:val="36"/>
        </w:rPr>
        <w:t xml:space="preserve">      </w:t>
      </w:r>
      <w:r>
        <w:rPr>
          <w:rFonts w:eastAsia="標楷體"/>
          <w:b/>
          <w:sz w:val="36"/>
        </w:rPr>
        <w:t>投標單</w:t>
      </w:r>
    </w:p>
    <w:p w:rsidR="00B24776" w:rsidRDefault="00CE544E">
      <w:pPr>
        <w:snapToGrid w:val="0"/>
      </w:pPr>
      <w:r>
        <w:rPr>
          <w:rFonts w:eastAsia="標楷體"/>
          <w:sz w:val="28"/>
        </w:rPr>
        <w:t>標案名稱：</w:t>
      </w:r>
      <w:r>
        <w:rPr>
          <w:rFonts w:eastAsia="標楷體"/>
          <w:color w:val="FF0000"/>
          <w:sz w:val="28"/>
        </w:rPr>
        <w:t>11</w:t>
      </w:r>
      <w:r w:rsidR="00B10910">
        <w:rPr>
          <w:rFonts w:eastAsia="標楷體" w:hint="eastAsia"/>
          <w:color w:val="FF0000"/>
          <w:sz w:val="28"/>
        </w:rPr>
        <w:t>2</w:t>
      </w:r>
      <w:r>
        <w:rPr>
          <w:rFonts w:eastAsia="標楷體"/>
          <w:color w:val="FF0000"/>
          <w:sz w:val="28"/>
        </w:rPr>
        <w:t>年臺北市市有公用房地提供設置太陽光電公民廠招標案</w:t>
      </w:r>
    </w:p>
    <w:tbl>
      <w:tblPr>
        <w:tblW w:w="1005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0"/>
      </w:tblGrid>
      <w:tr w:rsidR="00B24776">
        <w:tc>
          <w:tcPr>
            <w:tcW w:w="1005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76" w:rsidRDefault="00CE544E">
            <w:pPr>
              <w:pStyle w:val="a3"/>
              <w:numPr>
                <w:ilvl w:val="0"/>
                <w:numId w:val="1"/>
              </w:numPr>
              <w:spacing w:before="0"/>
              <w:ind w:left="851" w:hanging="851"/>
              <w:rPr>
                <w:spacing w:val="0"/>
                <w:szCs w:val="28"/>
              </w:rPr>
            </w:pPr>
            <w:r>
              <w:rPr>
                <w:spacing w:val="0"/>
                <w:szCs w:val="28"/>
              </w:rPr>
              <w:t>投標廠商對上開招標文件，均己完全明瞭接受。</w:t>
            </w:r>
          </w:p>
          <w:p w:rsidR="00B24776" w:rsidRDefault="00CE544E">
            <w:pPr>
              <w:pStyle w:val="a3"/>
              <w:numPr>
                <w:ilvl w:val="0"/>
                <w:numId w:val="1"/>
              </w:numPr>
              <w:spacing w:before="0"/>
              <w:ind w:left="851" w:hanging="851"/>
            </w:pPr>
            <w:r>
              <w:rPr>
                <w:b/>
                <w:spacing w:val="0"/>
                <w:szCs w:val="28"/>
              </w:rPr>
              <w:t>競標設備設置容量：</w:t>
            </w:r>
            <w:r>
              <w:rPr>
                <w:b/>
                <w:spacing w:val="0"/>
                <w:szCs w:val="28"/>
                <w:u w:val="single"/>
              </w:rPr>
              <w:t xml:space="preserve">          </w:t>
            </w:r>
            <w:r>
              <w:rPr>
                <w:b/>
                <w:spacing w:val="0"/>
                <w:szCs w:val="28"/>
              </w:rPr>
              <w:t>(kWp)</w:t>
            </w:r>
          </w:p>
          <w:p w:rsidR="00B24776" w:rsidRDefault="00CE544E">
            <w:pPr>
              <w:overflowPunct w:val="0"/>
              <w:snapToGrid w:val="0"/>
              <w:ind w:left="850"/>
            </w:pPr>
            <w:r>
              <w:rPr>
                <w:rFonts w:eastAsia="標楷體"/>
                <w:sz w:val="28"/>
                <w:szCs w:val="24"/>
              </w:rPr>
              <w:t>(</w:t>
            </w:r>
            <w:r>
              <w:rPr>
                <w:rFonts w:eastAsia="標楷體"/>
                <w:sz w:val="28"/>
                <w:szCs w:val="24"/>
              </w:rPr>
              <w:t>數值可填寫至小數點後一位。</w:t>
            </w:r>
            <w:r>
              <w:rPr>
                <w:rFonts w:ascii="標楷體" w:eastAsia="標楷體" w:hAnsi="標楷體"/>
                <w:sz w:val="28"/>
                <w:szCs w:val="28"/>
              </w:rPr>
              <w:t>本標單上每標的之競標設備設置容量下限，如下表，與下限不符者，視為無效標單。</w:t>
            </w:r>
            <w:r>
              <w:rPr>
                <w:rFonts w:eastAsia="標楷體"/>
                <w:szCs w:val="24"/>
              </w:rPr>
              <w:t>）</w:t>
            </w:r>
          </w:p>
          <w:p w:rsidR="00B24776" w:rsidRDefault="00CE544E">
            <w:pPr>
              <w:pStyle w:val="a3"/>
              <w:numPr>
                <w:ilvl w:val="0"/>
                <w:numId w:val="1"/>
              </w:numPr>
              <w:spacing w:before="0"/>
            </w:pPr>
            <w:r>
              <w:rPr>
                <w:b/>
                <w:color w:val="FF0000"/>
                <w:spacing w:val="0"/>
                <w:szCs w:val="28"/>
              </w:rPr>
              <w:t>房地使用回饋金百分比：</w:t>
            </w:r>
            <w:r>
              <w:rPr>
                <w:b/>
                <w:color w:val="FF0000"/>
                <w:spacing w:val="0"/>
                <w:szCs w:val="28"/>
                <w:u w:val="single"/>
              </w:rPr>
              <w:t xml:space="preserve">  7   </w:t>
            </w:r>
            <w:r>
              <w:rPr>
                <w:b/>
                <w:color w:val="FF0000"/>
                <w:spacing w:val="0"/>
                <w:szCs w:val="28"/>
              </w:rPr>
              <w:t>%</w:t>
            </w:r>
          </w:p>
          <w:p w:rsidR="00B24776" w:rsidRDefault="00CE544E">
            <w:pPr>
              <w:pStyle w:val="a3"/>
              <w:spacing w:before="0"/>
              <w:ind w:left="480" w:firstLine="0"/>
            </w:pPr>
            <w:r>
              <w:rPr>
                <w:color w:val="FF0000"/>
                <w:spacing w:val="0"/>
                <w:szCs w:val="28"/>
              </w:rPr>
              <w:t xml:space="preserve"> (</w:t>
            </w:r>
            <w:r>
              <w:rPr>
                <w:color w:val="FF0000"/>
                <w:spacing w:val="0"/>
                <w:szCs w:val="28"/>
              </w:rPr>
              <w:t>即</w:t>
            </w:r>
            <w:r>
              <w:rPr>
                <w:color w:val="FF0000"/>
                <w:szCs w:val="28"/>
              </w:rPr>
              <w:t>含稅之售電收入</w:t>
            </w:r>
            <w:r>
              <w:rPr>
                <w:color w:val="FF0000"/>
                <w:szCs w:val="28"/>
              </w:rPr>
              <w:t>(</w:t>
            </w:r>
            <w:r>
              <w:rPr>
                <w:color w:val="FF0000"/>
                <w:szCs w:val="28"/>
              </w:rPr>
              <w:t>元</w:t>
            </w:r>
            <w:r>
              <w:rPr>
                <w:color w:val="FF0000"/>
                <w:szCs w:val="28"/>
              </w:rPr>
              <w:t>)×</w:t>
            </w:r>
            <w:r>
              <w:rPr>
                <w:color w:val="FF0000"/>
                <w:szCs w:val="28"/>
              </w:rPr>
              <w:t>售電回饋百分比</w:t>
            </w:r>
            <w:r>
              <w:rPr>
                <w:color w:val="FF0000"/>
                <w:szCs w:val="28"/>
              </w:rPr>
              <w:t>(%)</w:t>
            </w:r>
            <w:r>
              <w:rPr>
                <w:color w:val="FF0000"/>
                <w:szCs w:val="28"/>
              </w:rPr>
              <w:t>。</w:t>
            </w:r>
            <w:r>
              <w:rPr>
                <w:color w:val="FF0000"/>
                <w:spacing w:val="0"/>
                <w:szCs w:val="24"/>
              </w:rPr>
              <w:t>數值可填寫至小數點後一位，惟最低回饋百分比至少為</w:t>
            </w:r>
            <w:r>
              <w:rPr>
                <w:color w:val="FF0000"/>
                <w:spacing w:val="0"/>
                <w:szCs w:val="24"/>
              </w:rPr>
              <w:t>7%</w:t>
            </w:r>
            <w:r>
              <w:rPr>
                <w:color w:val="FF0000"/>
                <w:spacing w:val="0"/>
                <w:szCs w:val="24"/>
              </w:rPr>
              <w:t>，低於</w:t>
            </w:r>
            <w:r>
              <w:rPr>
                <w:color w:val="FF0000"/>
                <w:spacing w:val="0"/>
                <w:szCs w:val="24"/>
                <w:shd w:val="clear" w:color="auto" w:fill="FFFFFF"/>
              </w:rPr>
              <w:t>7</w:t>
            </w:r>
            <w:r>
              <w:rPr>
                <w:color w:val="FF0000"/>
                <w:spacing w:val="0"/>
                <w:szCs w:val="24"/>
              </w:rPr>
              <w:t>%</w:t>
            </w:r>
            <w:r>
              <w:rPr>
                <w:color w:val="FF0000"/>
                <w:spacing w:val="0"/>
                <w:szCs w:val="24"/>
              </w:rPr>
              <w:t>視為無效標單</w:t>
            </w:r>
            <w:r>
              <w:rPr>
                <w:color w:val="FF0000"/>
                <w:spacing w:val="0"/>
                <w:szCs w:val="24"/>
              </w:rPr>
              <w:t>)</w:t>
            </w:r>
          </w:p>
          <w:p w:rsidR="00B24776" w:rsidRDefault="00CE544E">
            <w:pPr>
              <w:pStyle w:val="a3"/>
              <w:numPr>
                <w:ilvl w:val="0"/>
                <w:numId w:val="1"/>
              </w:numPr>
              <w:spacing w:before="0"/>
            </w:pPr>
            <w:r>
              <w:rPr>
                <w:b/>
                <w:color w:val="FF0000"/>
                <w:spacing w:val="0"/>
                <w:szCs w:val="28"/>
              </w:rPr>
              <w:t>公益回饋金百分比：</w:t>
            </w:r>
            <w:r>
              <w:rPr>
                <w:b/>
                <w:color w:val="FF0000"/>
                <w:spacing w:val="0"/>
                <w:szCs w:val="28"/>
                <w:u w:val="single"/>
              </w:rPr>
              <w:t xml:space="preserve">  4   </w:t>
            </w:r>
            <w:r>
              <w:rPr>
                <w:b/>
                <w:color w:val="FF0000"/>
                <w:spacing w:val="0"/>
                <w:szCs w:val="28"/>
              </w:rPr>
              <w:t>%</w:t>
            </w:r>
          </w:p>
          <w:p w:rsidR="00B24776" w:rsidRDefault="00CE544E">
            <w:pPr>
              <w:pStyle w:val="a3"/>
              <w:spacing w:before="0"/>
              <w:ind w:left="480" w:firstLine="0"/>
            </w:pPr>
            <w:r>
              <w:rPr>
                <w:color w:val="FF0000"/>
                <w:spacing w:val="0"/>
                <w:szCs w:val="28"/>
              </w:rPr>
              <w:t xml:space="preserve"> (</w:t>
            </w:r>
            <w:r>
              <w:rPr>
                <w:color w:val="FF0000"/>
                <w:spacing w:val="0"/>
                <w:szCs w:val="28"/>
              </w:rPr>
              <w:t>應使用於社會公益計畫之回饋金。即含稅之售電收入</w:t>
            </w:r>
            <w:r>
              <w:rPr>
                <w:color w:val="FF0000"/>
                <w:spacing w:val="0"/>
                <w:szCs w:val="28"/>
              </w:rPr>
              <w:t>(</w:t>
            </w:r>
            <w:r>
              <w:rPr>
                <w:color w:val="FF0000"/>
                <w:spacing w:val="0"/>
                <w:szCs w:val="28"/>
              </w:rPr>
              <w:t>元</w:t>
            </w:r>
            <w:r>
              <w:rPr>
                <w:color w:val="FF0000"/>
                <w:spacing w:val="0"/>
                <w:szCs w:val="28"/>
              </w:rPr>
              <w:t>)×</w:t>
            </w:r>
            <w:r>
              <w:rPr>
                <w:color w:val="FF0000"/>
                <w:spacing w:val="0"/>
                <w:szCs w:val="28"/>
              </w:rPr>
              <w:t>售電回饋百分比</w:t>
            </w:r>
            <w:r>
              <w:rPr>
                <w:color w:val="FF0000"/>
                <w:spacing w:val="0"/>
                <w:szCs w:val="28"/>
              </w:rPr>
              <w:t>(%)</w:t>
            </w:r>
            <w:r>
              <w:rPr>
                <w:color w:val="FF0000"/>
                <w:spacing w:val="0"/>
                <w:szCs w:val="28"/>
              </w:rPr>
              <w:t>。即</w:t>
            </w:r>
            <w:r>
              <w:rPr>
                <w:color w:val="FF0000"/>
                <w:szCs w:val="28"/>
              </w:rPr>
              <w:t>含稅之售電收入</w:t>
            </w:r>
            <w:r>
              <w:rPr>
                <w:color w:val="FF0000"/>
                <w:szCs w:val="28"/>
              </w:rPr>
              <w:t>(</w:t>
            </w:r>
            <w:r>
              <w:rPr>
                <w:color w:val="FF0000"/>
                <w:szCs w:val="28"/>
              </w:rPr>
              <w:t>元</w:t>
            </w:r>
            <w:r>
              <w:rPr>
                <w:color w:val="FF0000"/>
                <w:szCs w:val="28"/>
              </w:rPr>
              <w:t>)×</w:t>
            </w:r>
            <w:r>
              <w:rPr>
                <w:color w:val="FF0000"/>
                <w:szCs w:val="28"/>
              </w:rPr>
              <w:t>售電回饋百分比</w:t>
            </w:r>
            <w:r>
              <w:rPr>
                <w:color w:val="FF0000"/>
                <w:szCs w:val="28"/>
              </w:rPr>
              <w:t>(%)</w:t>
            </w:r>
            <w:r>
              <w:rPr>
                <w:color w:val="FF0000"/>
                <w:szCs w:val="28"/>
              </w:rPr>
              <w:t>。</w:t>
            </w:r>
            <w:r>
              <w:rPr>
                <w:color w:val="FF0000"/>
                <w:spacing w:val="0"/>
                <w:szCs w:val="24"/>
              </w:rPr>
              <w:t>數值可填寫至小數點後一位，惟最低回饋百分比至少為</w:t>
            </w:r>
            <w:r>
              <w:rPr>
                <w:color w:val="FF0000"/>
                <w:spacing w:val="0"/>
                <w:szCs w:val="24"/>
                <w:shd w:val="clear" w:color="auto" w:fill="FFFFFF"/>
              </w:rPr>
              <w:t>4</w:t>
            </w:r>
            <w:r>
              <w:rPr>
                <w:color w:val="FF0000"/>
                <w:spacing w:val="0"/>
                <w:szCs w:val="24"/>
              </w:rPr>
              <w:t>%</w:t>
            </w:r>
            <w:r>
              <w:rPr>
                <w:color w:val="FF0000"/>
                <w:spacing w:val="0"/>
                <w:szCs w:val="24"/>
              </w:rPr>
              <w:t>，低於</w:t>
            </w:r>
            <w:r>
              <w:rPr>
                <w:color w:val="FF0000"/>
                <w:spacing w:val="0"/>
                <w:szCs w:val="24"/>
                <w:shd w:val="clear" w:color="auto" w:fill="FFFFFF"/>
              </w:rPr>
              <w:t>4</w:t>
            </w:r>
            <w:r>
              <w:rPr>
                <w:color w:val="FF0000"/>
                <w:spacing w:val="0"/>
                <w:szCs w:val="24"/>
              </w:rPr>
              <w:t>%</w:t>
            </w:r>
            <w:r>
              <w:rPr>
                <w:color w:val="FF0000"/>
                <w:spacing w:val="0"/>
                <w:szCs w:val="24"/>
              </w:rPr>
              <w:t>視為無效標單</w:t>
            </w:r>
            <w:r>
              <w:rPr>
                <w:color w:val="FF0000"/>
                <w:spacing w:val="0"/>
                <w:szCs w:val="24"/>
              </w:rPr>
              <w:t>)</w:t>
            </w:r>
          </w:p>
          <w:p w:rsidR="00B24776" w:rsidRDefault="00CE544E">
            <w:pPr>
              <w:pStyle w:val="a3"/>
              <w:numPr>
                <w:ilvl w:val="0"/>
                <w:numId w:val="1"/>
              </w:numPr>
              <w:spacing w:before="0"/>
              <w:ind w:left="851" w:hanging="851"/>
            </w:pPr>
            <w:r>
              <w:rPr>
                <w:rFonts w:ascii="標楷體" w:hAnsi="標楷體"/>
                <w:b/>
                <w:color w:val="FF0000"/>
                <w:spacing w:val="0"/>
                <w:szCs w:val="28"/>
              </w:rPr>
              <w:t>回饋金百分比合計值:</w:t>
            </w:r>
            <w:r>
              <w:rPr>
                <w:b/>
                <w:color w:val="FF0000"/>
                <w:spacing w:val="0"/>
                <w:szCs w:val="28"/>
                <w:u w:val="single"/>
              </w:rPr>
              <w:t xml:space="preserve">  11    </w:t>
            </w:r>
            <w:r>
              <w:rPr>
                <w:b/>
                <w:color w:val="FF0000"/>
                <w:spacing w:val="0"/>
                <w:szCs w:val="28"/>
              </w:rPr>
              <w:t>%</w:t>
            </w:r>
          </w:p>
          <w:p w:rsidR="00B24776" w:rsidRDefault="00CE544E">
            <w:pPr>
              <w:pStyle w:val="a3"/>
              <w:spacing w:before="0"/>
              <w:ind w:left="851" w:firstLine="0"/>
            </w:pPr>
            <w:r>
              <w:rPr>
                <w:rFonts w:ascii="標楷體" w:hAnsi="標楷體"/>
                <w:b/>
                <w:color w:val="FF0000"/>
                <w:spacing w:val="0"/>
                <w:szCs w:val="28"/>
              </w:rPr>
              <w:t>(即「</w:t>
            </w:r>
            <w:r>
              <w:rPr>
                <w:b/>
                <w:color w:val="FF0000"/>
                <w:spacing w:val="0"/>
                <w:szCs w:val="28"/>
              </w:rPr>
              <w:t>房地使用回饋金</w:t>
            </w:r>
            <w:r>
              <w:rPr>
                <w:rFonts w:ascii="標楷體" w:hAnsi="標楷體"/>
                <w:b/>
                <w:color w:val="FF0000"/>
                <w:spacing w:val="0"/>
                <w:szCs w:val="28"/>
              </w:rPr>
              <w:t>」</w:t>
            </w:r>
            <w:r>
              <w:rPr>
                <w:b/>
                <w:color w:val="FF0000"/>
                <w:spacing w:val="0"/>
                <w:szCs w:val="28"/>
              </w:rPr>
              <w:t>及</w:t>
            </w:r>
            <w:r>
              <w:rPr>
                <w:rFonts w:ascii="標楷體" w:hAnsi="標楷體"/>
                <w:b/>
                <w:color w:val="FF0000"/>
                <w:spacing w:val="0"/>
                <w:szCs w:val="28"/>
              </w:rPr>
              <w:t>「</w:t>
            </w:r>
            <w:r>
              <w:rPr>
                <w:b/>
                <w:color w:val="FF0000"/>
                <w:spacing w:val="0"/>
                <w:szCs w:val="28"/>
              </w:rPr>
              <w:t>公益回饋金</w:t>
            </w:r>
            <w:r>
              <w:rPr>
                <w:rFonts w:ascii="標楷體" w:hAnsi="標楷體"/>
                <w:b/>
                <w:color w:val="FF0000"/>
                <w:spacing w:val="0"/>
                <w:szCs w:val="28"/>
              </w:rPr>
              <w:t>」</w:t>
            </w:r>
            <w:r>
              <w:rPr>
                <w:b/>
                <w:color w:val="FF0000"/>
                <w:spacing w:val="0"/>
                <w:szCs w:val="28"/>
              </w:rPr>
              <w:t>兩者合計值。</w:t>
            </w:r>
            <w:r>
              <w:rPr>
                <w:b/>
                <w:color w:val="FF0000"/>
                <w:spacing w:val="0"/>
                <w:szCs w:val="28"/>
              </w:rPr>
              <w:t>)</w:t>
            </w:r>
          </w:p>
          <w:p w:rsidR="00B24776" w:rsidRDefault="00CE544E">
            <w:pPr>
              <w:pStyle w:val="a3"/>
              <w:numPr>
                <w:ilvl w:val="0"/>
                <w:numId w:val="1"/>
              </w:numPr>
              <w:spacing w:before="0"/>
              <w:ind w:left="851" w:hanging="851"/>
            </w:pPr>
            <w:r>
              <w:rPr>
                <w:rFonts w:ascii="標楷體" w:hAnsi="標楷體"/>
                <w:b/>
                <w:color w:val="FF0000"/>
                <w:spacing w:val="0"/>
                <w:szCs w:val="28"/>
              </w:rPr>
              <w:t>「</w:t>
            </w:r>
            <w:r>
              <w:rPr>
                <w:b/>
                <w:color w:val="FF0000"/>
                <w:spacing w:val="0"/>
                <w:szCs w:val="28"/>
              </w:rPr>
              <w:t>競標設備設置容量</w:t>
            </w:r>
            <w:r>
              <w:rPr>
                <w:rFonts w:ascii="標楷體" w:hAnsi="標楷體"/>
                <w:b/>
                <w:color w:val="FF0000"/>
                <w:spacing w:val="0"/>
                <w:szCs w:val="28"/>
              </w:rPr>
              <w:t>」</w:t>
            </w:r>
            <w:r>
              <w:rPr>
                <w:b/>
                <w:color w:val="FF0000"/>
                <w:spacing w:val="0"/>
                <w:szCs w:val="28"/>
              </w:rPr>
              <w:t>及</w:t>
            </w:r>
            <w:r>
              <w:rPr>
                <w:rFonts w:ascii="標楷體" w:hAnsi="標楷體"/>
                <w:b/>
                <w:color w:val="FF0000"/>
                <w:spacing w:val="0"/>
                <w:szCs w:val="28"/>
              </w:rPr>
              <w:t>「</w:t>
            </w:r>
            <w:r>
              <w:rPr>
                <w:b/>
                <w:color w:val="FF0000"/>
                <w:spacing w:val="0"/>
                <w:szCs w:val="28"/>
              </w:rPr>
              <w:t>回饋金合計值</w:t>
            </w:r>
            <w:r>
              <w:rPr>
                <w:rFonts w:ascii="標楷體" w:hAnsi="標楷體"/>
                <w:b/>
                <w:color w:val="FF0000"/>
                <w:spacing w:val="0"/>
                <w:szCs w:val="28"/>
              </w:rPr>
              <w:t>」</w:t>
            </w:r>
            <w:r>
              <w:rPr>
                <w:b/>
                <w:color w:val="FF0000"/>
                <w:spacing w:val="0"/>
                <w:szCs w:val="28"/>
              </w:rPr>
              <w:t>之相乘比值</w:t>
            </w:r>
            <w:r>
              <w:rPr>
                <w:b/>
                <w:spacing w:val="0"/>
                <w:szCs w:val="28"/>
              </w:rPr>
              <w:t>：</w:t>
            </w:r>
            <w:r>
              <w:rPr>
                <w:b/>
                <w:spacing w:val="0"/>
                <w:szCs w:val="28"/>
                <w:u w:val="single"/>
              </w:rPr>
              <w:t xml:space="preserve">          </w:t>
            </w:r>
          </w:p>
          <w:p w:rsidR="00B24776" w:rsidRDefault="00CE544E">
            <w:pPr>
              <w:snapToGrid w:val="0"/>
              <w:ind w:left="850"/>
            </w:pPr>
            <w:r>
              <w:rPr>
                <w:rFonts w:eastAsia="標楷體"/>
                <w:color w:val="FF0000"/>
                <w:sz w:val="28"/>
              </w:rPr>
              <w:t>(</w:t>
            </w:r>
            <w:r>
              <w:rPr>
                <w:rFonts w:eastAsia="標楷體"/>
                <w:color w:val="FF0000"/>
                <w:sz w:val="28"/>
              </w:rPr>
              <w:t>上述請</w:t>
            </w:r>
            <w:r>
              <w:rPr>
                <w:rFonts w:eastAsia="標楷體"/>
                <w:b/>
                <w:color w:val="FF0000"/>
                <w:sz w:val="28"/>
                <w:u w:val="single"/>
              </w:rPr>
              <w:t>以阿拉伯數字書寫</w:t>
            </w:r>
            <w:r>
              <w:rPr>
                <w:rFonts w:eastAsia="標楷體"/>
                <w:color w:val="FF0000"/>
                <w:sz w:val="28"/>
              </w:rPr>
              <w:t>，如有塗改請蓋章，相乘比值以有效投標標單之競標設備設置容量</w:t>
            </w:r>
            <w:r>
              <w:rPr>
                <w:rFonts w:eastAsia="標楷體"/>
                <w:color w:val="FF0000"/>
                <w:sz w:val="28"/>
              </w:rPr>
              <w:t>(kWp)x</w:t>
            </w:r>
            <w:r>
              <w:rPr>
                <w:rFonts w:eastAsia="標楷體"/>
                <w:color w:val="FF0000"/>
                <w:sz w:val="28"/>
              </w:rPr>
              <w:t>回饋金合計值，</w:t>
            </w:r>
            <w:r>
              <w:rPr>
                <w:rFonts w:eastAsia="標楷體"/>
                <w:color w:val="FF0000"/>
                <w:kern w:val="0"/>
                <w:sz w:val="28"/>
              </w:rPr>
              <w:t>例如</w:t>
            </w:r>
            <w:r>
              <w:rPr>
                <w:rFonts w:eastAsia="標楷體"/>
                <w:color w:val="FF0000"/>
                <w:sz w:val="28"/>
              </w:rPr>
              <w:t>設置容量</w:t>
            </w:r>
            <w:r>
              <w:rPr>
                <w:rFonts w:eastAsia="標楷體"/>
                <w:color w:val="FF0000"/>
                <w:sz w:val="28"/>
                <w:u w:val="single"/>
              </w:rPr>
              <w:t>50</w:t>
            </w:r>
            <w:r>
              <w:rPr>
                <w:rFonts w:eastAsia="標楷體"/>
                <w:color w:val="FF0000"/>
                <w:sz w:val="28"/>
              </w:rPr>
              <w:t>，回饋金合計值分比為</w:t>
            </w:r>
            <w:r>
              <w:rPr>
                <w:rFonts w:eastAsia="標楷體"/>
                <w:color w:val="FF0000"/>
                <w:sz w:val="28"/>
                <w:u w:val="single"/>
              </w:rPr>
              <w:t>12%</w:t>
            </w:r>
            <w:r>
              <w:rPr>
                <w:rFonts w:eastAsia="標楷體"/>
                <w:color w:val="FF0000"/>
                <w:sz w:val="28"/>
              </w:rPr>
              <w:t>，相乘比值：</w:t>
            </w:r>
            <w:r>
              <w:rPr>
                <w:rFonts w:eastAsia="標楷體"/>
                <w:color w:val="FF0000"/>
                <w:sz w:val="28"/>
                <w:u w:val="single"/>
              </w:rPr>
              <w:t>6</w:t>
            </w:r>
            <w:r>
              <w:rPr>
                <w:rFonts w:eastAsia="標楷體"/>
                <w:color w:val="FF0000"/>
                <w:sz w:val="28"/>
              </w:rPr>
              <w:t>，如相乘比值經審查錯誤者，視為無效標。</w:t>
            </w:r>
            <w:r>
              <w:rPr>
                <w:rFonts w:eastAsia="標楷體"/>
                <w:color w:val="FF0000"/>
                <w:sz w:val="28"/>
              </w:rPr>
              <w:t>)</w:t>
            </w:r>
          </w:p>
        </w:tc>
      </w:tr>
      <w:tr w:rsidR="00B24776">
        <w:tc>
          <w:tcPr>
            <w:tcW w:w="100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76" w:rsidRDefault="00CE544E">
            <w:pPr>
              <w:pStyle w:val="a3"/>
              <w:numPr>
                <w:ilvl w:val="0"/>
                <w:numId w:val="2"/>
              </w:numPr>
              <w:spacing w:before="0"/>
              <w:ind w:left="851" w:hanging="851"/>
              <w:rPr>
                <w:spacing w:val="0"/>
                <w:szCs w:val="24"/>
              </w:rPr>
            </w:pPr>
            <w:r>
              <w:rPr>
                <w:spacing w:val="0"/>
                <w:szCs w:val="24"/>
              </w:rPr>
              <w:t>標價填寫注意事項：</w:t>
            </w:r>
            <w:r>
              <w:rPr>
                <w:spacing w:val="0"/>
                <w:szCs w:val="24"/>
              </w:rPr>
              <w:t>(</w:t>
            </w:r>
            <w:r>
              <w:rPr>
                <w:spacing w:val="0"/>
                <w:szCs w:val="24"/>
              </w:rPr>
              <w:t>無效標之規定</w:t>
            </w:r>
            <w:r>
              <w:rPr>
                <w:spacing w:val="0"/>
                <w:szCs w:val="24"/>
              </w:rPr>
              <w:t>)</w:t>
            </w:r>
          </w:p>
          <w:p w:rsidR="00B24776" w:rsidRDefault="00CE544E">
            <w:pPr>
              <w:pStyle w:val="a3"/>
              <w:spacing w:before="0"/>
              <w:ind w:left="1135" w:hanging="283"/>
            </w:pPr>
            <w:r>
              <w:rPr>
                <w:rFonts w:ascii="標楷體" w:hAnsi="標楷體"/>
                <w:spacing w:val="0"/>
                <w:szCs w:val="24"/>
              </w:rPr>
              <w:t>＊若使用鉛筆或其他易塗改之書寫工具書寫，視為無效標；</w:t>
            </w:r>
            <w:r>
              <w:t>競標</w:t>
            </w:r>
            <w:r>
              <w:rPr>
                <w:rFonts w:ascii="標楷體" w:hAnsi="標楷體"/>
                <w:spacing w:val="0"/>
                <w:szCs w:val="24"/>
              </w:rPr>
              <w:t>設備設置容量、</w:t>
            </w:r>
            <w:r>
              <w:rPr>
                <w:color w:val="FF0000"/>
                <w:spacing w:val="0"/>
                <w:szCs w:val="28"/>
              </w:rPr>
              <w:t>房地使用回饋金百分比、公益回饋金百分比</w:t>
            </w:r>
            <w:r>
              <w:rPr>
                <w:b/>
                <w:color w:val="FF0000"/>
                <w:spacing w:val="0"/>
                <w:szCs w:val="28"/>
              </w:rPr>
              <w:t>、</w:t>
            </w:r>
            <w:r>
              <w:rPr>
                <w:rFonts w:ascii="標楷體" w:hAnsi="標楷體"/>
                <w:color w:val="FF0000"/>
                <w:spacing w:val="0"/>
                <w:szCs w:val="24"/>
              </w:rPr>
              <w:t>回饋金百分比合計值及兩者相乘比值</w:t>
            </w:r>
            <w:r>
              <w:rPr>
                <w:rFonts w:ascii="標楷體" w:hAnsi="標楷體"/>
                <w:spacing w:val="0"/>
                <w:szCs w:val="24"/>
              </w:rPr>
              <w:t>，經修(塗)改處未加蓋印章，相乘比值經審查錯誤，亦同。</w:t>
            </w:r>
          </w:p>
          <w:p w:rsidR="00B24776" w:rsidRDefault="00CE544E">
            <w:pPr>
              <w:pStyle w:val="a3"/>
              <w:numPr>
                <w:ilvl w:val="0"/>
                <w:numId w:val="2"/>
              </w:numPr>
              <w:spacing w:before="0"/>
              <w:ind w:left="851" w:hanging="85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6416673</wp:posOffset>
                      </wp:positionH>
                      <wp:positionV relativeFrom="paragraph">
                        <wp:posOffset>349245</wp:posOffset>
                      </wp:positionV>
                      <wp:extent cx="381003" cy="3057525"/>
                      <wp:effectExtent l="0" t="0" r="0" b="9525"/>
                      <wp:wrapNone/>
                      <wp:docPr id="2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3" cy="3057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B24776" w:rsidRDefault="00CE544E">
                                  <w:pPr>
                                    <w:snapToGrid w:val="0"/>
                                    <w:spacing w:line="100" w:lineRule="atLeast"/>
                                    <w:rPr>
                                      <w:rFonts w:eastAsia="標楷體"/>
                                      <w:spacing w:val="2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pacing w:val="20"/>
                                      <w:sz w:val="28"/>
                                    </w:rPr>
                                    <w:t>本標單決標後，併入行政契約中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7" type="#_x0000_t202" style="position:absolute;left:0;text-align:left;margin-left:505.25pt;margin-top:27.5pt;width:30pt;height:240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" stroked="f">
                      <v:textbox style="layout-flow:vertical-ideographic">
                        <w:txbxContent>
                          <w:p w:rsidR="00B24776" w:rsidRDefault="00CE544E">
                            <w:pPr>
                              <w:snapToGrid w:val="0"/>
                              <w:spacing w:line="100" w:lineRule="atLeast"/>
                              <w:rPr>
                                <w:rFonts w:eastAsia="標楷體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eastAsia="標楷體"/>
                                <w:spacing w:val="20"/>
                                <w:sz w:val="28"/>
                              </w:rPr>
                              <w:t>本標單決標後，併入行政契約中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hAnsi="標楷體"/>
                <w:spacing w:val="0"/>
                <w:szCs w:val="24"/>
              </w:rPr>
              <w:t>上開報價之有效期同意依投標須知內之規定，本案倘因故延期決標而超出該期限，除本投標廠商書面反對延長外，同意延長至實際決標日。</w:t>
            </w:r>
          </w:p>
          <w:p w:rsidR="00B24776" w:rsidRDefault="00CE544E">
            <w:pPr>
              <w:pStyle w:val="a3"/>
              <w:spacing w:before="0"/>
              <w:ind w:left="1135" w:hanging="283"/>
            </w:pPr>
            <w:r>
              <w:rPr>
                <w:bCs/>
                <w:spacing w:val="0"/>
                <w:szCs w:val="24"/>
              </w:rPr>
              <w:t>＊本標單</w:t>
            </w:r>
            <w:r>
              <w:rPr>
                <w:rFonts w:ascii="標楷體" w:hAnsi="標楷體"/>
                <w:spacing w:val="0"/>
                <w:szCs w:val="24"/>
              </w:rPr>
              <w:t>投標</w:t>
            </w:r>
            <w:r>
              <w:rPr>
                <w:bCs/>
                <w:spacing w:val="0"/>
                <w:szCs w:val="24"/>
              </w:rPr>
              <w:t>廠商未用印，視同無效標。</w:t>
            </w:r>
          </w:p>
          <w:p w:rsidR="00B24776" w:rsidRDefault="00B24776">
            <w:pPr>
              <w:pStyle w:val="a3"/>
              <w:spacing w:before="0"/>
              <w:ind w:left="0" w:firstLine="0"/>
              <w:rPr>
                <w:spacing w:val="0"/>
              </w:rPr>
            </w:pPr>
          </w:p>
          <w:p w:rsidR="00B24776" w:rsidRDefault="00CE544E">
            <w:pPr>
              <w:pStyle w:val="a3"/>
              <w:spacing w:before="0"/>
              <w:ind w:left="0" w:firstLine="0"/>
            </w:pPr>
            <w:r>
              <w:rPr>
                <w:rFonts w:ascii="標楷體" w:hAnsi="標楷體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-481331</wp:posOffset>
                      </wp:positionH>
                      <wp:positionV relativeFrom="paragraph">
                        <wp:posOffset>60322</wp:posOffset>
                      </wp:positionV>
                      <wp:extent cx="381003" cy="2939411"/>
                      <wp:effectExtent l="0" t="0" r="0" b="0"/>
                      <wp:wrapNone/>
                      <wp:docPr id="3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3" cy="29394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B24776" w:rsidRDefault="00CE544E">
                                  <w:pPr>
                                    <w:snapToGrid w:val="0"/>
                                    <w:spacing w:line="160" w:lineRule="atLeast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8"/>
                                    </w:rPr>
                                    <w:t>雙線以下部分，在未開標前請勿填寫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1" o:spid="_x0000_s1028" type="#_x0000_t202" style="position:absolute;margin-left:-37.9pt;margin-top:4.75pt;width:30pt;height:231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" stroked="f">
                      <v:textbox style="layout-flow:vertical-ideographic">
                        <w:txbxContent>
                          <w:p w:rsidR="00B24776" w:rsidRDefault="00CE544E">
                            <w:pPr>
                              <w:snapToGrid w:val="0"/>
                              <w:spacing w:line="160" w:lineRule="atLeast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</w:rPr>
                              <w:t>雙線以下部分，在未開標前請勿填寫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4776" w:rsidRDefault="00B24776">
            <w:pPr>
              <w:pStyle w:val="a3"/>
              <w:spacing w:before="0"/>
              <w:ind w:left="0" w:firstLine="0"/>
              <w:rPr>
                <w:spacing w:val="0"/>
              </w:rPr>
            </w:pPr>
          </w:p>
          <w:p w:rsidR="00B24776" w:rsidRDefault="00B24776">
            <w:pPr>
              <w:pStyle w:val="a3"/>
              <w:spacing w:before="0"/>
              <w:ind w:left="0" w:firstLine="0"/>
              <w:rPr>
                <w:spacing w:val="0"/>
              </w:rPr>
            </w:pPr>
          </w:p>
          <w:p w:rsidR="00B24776" w:rsidRDefault="00B24776">
            <w:pPr>
              <w:pStyle w:val="a3"/>
              <w:spacing w:before="0"/>
              <w:ind w:left="0" w:firstLine="0"/>
              <w:rPr>
                <w:spacing w:val="0"/>
              </w:rPr>
            </w:pPr>
          </w:p>
          <w:p w:rsidR="00B24776" w:rsidRDefault="00B24776">
            <w:pPr>
              <w:pStyle w:val="a3"/>
              <w:spacing w:before="0"/>
              <w:ind w:left="0" w:firstLine="0"/>
              <w:rPr>
                <w:spacing w:val="0"/>
              </w:rPr>
            </w:pPr>
          </w:p>
          <w:p w:rsidR="00B24776" w:rsidRDefault="00CE544E">
            <w:pPr>
              <w:pStyle w:val="a3"/>
              <w:spacing w:before="0"/>
              <w:ind w:left="0" w:firstLine="0"/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4104000</wp:posOffset>
                      </wp:positionH>
                      <wp:positionV relativeFrom="paragraph">
                        <wp:posOffset>102870</wp:posOffset>
                      </wp:positionV>
                      <wp:extent cx="1295403" cy="1143000"/>
                      <wp:effectExtent l="0" t="0" r="19047" b="19050"/>
                      <wp:wrapNone/>
                      <wp:docPr id="4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3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rnd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0CAAD0" id="Rectangle 19" o:spid="_x0000_s1026" style="position:absolute;margin-left:323.15pt;margin-top:8.1pt;width:102pt;height:90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" strokeweight=".26467mm">
                      <v:stroke endcap="round"/>
                      <v:textbox inset="0,0,0,0"/>
                    </v:rect>
                  </w:pict>
                </mc:Fallback>
              </mc:AlternateContent>
            </w:r>
          </w:p>
          <w:p w:rsidR="00B24776" w:rsidRDefault="00B24776">
            <w:pPr>
              <w:pStyle w:val="a3"/>
              <w:spacing w:before="0"/>
              <w:ind w:left="0" w:firstLine="0"/>
              <w:rPr>
                <w:spacing w:val="0"/>
              </w:rPr>
            </w:pPr>
          </w:p>
          <w:p w:rsidR="00B24776" w:rsidRDefault="00CE544E">
            <w:pPr>
              <w:pStyle w:val="a3"/>
              <w:spacing w:before="0"/>
              <w:ind w:left="0" w:firstLine="0"/>
            </w:pPr>
            <w:r>
              <w:rPr>
                <w:noProof/>
                <w:spacing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5528306</wp:posOffset>
                      </wp:positionH>
                      <wp:positionV relativeFrom="paragraph">
                        <wp:posOffset>37462</wp:posOffset>
                      </wp:positionV>
                      <wp:extent cx="761996" cy="800100"/>
                      <wp:effectExtent l="0" t="0" r="19054" b="19050"/>
                      <wp:wrapNone/>
                      <wp:docPr id="5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96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rnd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7A4250" id="Rectangle 20" o:spid="_x0000_s1026" style="position:absolute;margin-left:435.3pt;margin-top:2.95pt;width:60pt;height:63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" strokeweight=".26467mm">
                      <v:stroke endcap="round"/>
                      <v:textbox inset="0,0,0,0"/>
                    </v:rect>
                  </w:pict>
                </mc:Fallback>
              </mc:AlternateContent>
            </w:r>
            <w:r>
              <w:rPr>
                <w:spacing w:val="0"/>
              </w:rPr>
              <w:t>投標廠商：名</w:t>
            </w:r>
            <w:r>
              <w:rPr>
                <w:spacing w:val="0"/>
              </w:rPr>
              <w:t xml:space="preserve">  </w:t>
            </w:r>
            <w:r>
              <w:rPr>
                <w:spacing w:val="0"/>
              </w:rPr>
              <w:t>稱</w:t>
            </w:r>
          </w:p>
          <w:p w:rsidR="00B24776" w:rsidRDefault="00CE544E">
            <w:pPr>
              <w:pStyle w:val="a3"/>
              <w:spacing w:before="0"/>
              <w:ind w:left="0" w:firstLine="0"/>
              <w:rPr>
                <w:spacing w:val="0"/>
              </w:rPr>
            </w:pPr>
            <w:r>
              <w:rPr>
                <w:spacing w:val="0"/>
              </w:rPr>
              <w:t xml:space="preserve">          </w:t>
            </w:r>
            <w:r>
              <w:rPr>
                <w:spacing w:val="0"/>
              </w:rPr>
              <w:t>負責人</w:t>
            </w:r>
          </w:p>
          <w:p w:rsidR="00B24776" w:rsidRDefault="00CE544E">
            <w:pPr>
              <w:pStyle w:val="a3"/>
              <w:spacing w:before="0"/>
              <w:ind w:left="0" w:firstLine="0"/>
              <w:rPr>
                <w:spacing w:val="0"/>
              </w:rPr>
            </w:pPr>
            <w:r>
              <w:rPr>
                <w:spacing w:val="0"/>
              </w:rPr>
              <w:t xml:space="preserve">          </w:t>
            </w:r>
            <w:r>
              <w:rPr>
                <w:spacing w:val="0"/>
              </w:rPr>
              <w:t>地</w:t>
            </w:r>
            <w:r>
              <w:rPr>
                <w:spacing w:val="0"/>
              </w:rPr>
              <w:t xml:space="preserve">  </w:t>
            </w:r>
            <w:r>
              <w:rPr>
                <w:spacing w:val="0"/>
              </w:rPr>
              <w:t>址</w:t>
            </w:r>
          </w:p>
          <w:p w:rsidR="00B24776" w:rsidRDefault="00B24776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B24776">
        <w:tc>
          <w:tcPr>
            <w:tcW w:w="100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76" w:rsidRDefault="00CE544E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lastRenderedPageBreak/>
              <w:t>押標金票據號碼：</w:t>
            </w:r>
          </w:p>
          <w:p w:rsidR="00B24776" w:rsidRDefault="00B24776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B24776" w:rsidRDefault="00B24776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B24776" w:rsidRDefault="00B24776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B24776" w:rsidRDefault="00CE544E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押標金新臺幣</w:t>
            </w:r>
            <w:r>
              <w:rPr>
                <w:rFonts w:eastAsia="標楷體"/>
                <w:sz w:val="28"/>
                <w:szCs w:val="28"/>
              </w:rPr>
              <w:t xml:space="preserve">              </w:t>
            </w:r>
            <w:r>
              <w:rPr>
                <w:rFonts w:eastAsia="標楷體"/>
                <w:sz w:val="28"/>
                <w:szCs w:val="28"/>
              </w:rPr>
              <w:t>元之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票據號碼</w:t>
            </w:r>
            <w:r>
              <w:rPr>
                <w:rFonts w:eastAsia="標楷體"/>
                <w:sz w:val="28"/>
                <w:szCs w:val="28"/>
              </w:rPr>
              <w:t xml:space="preserve">)                    </w:t>
            </w:r>
            <w:r>
              <w:rPr>
                <w:rFonts w:eastAsia="標楷體"/>
                <w:sz w:val="28"/>
                <w:szCs w:val="28"/>
              </w:rPr>
              <w:t>號票據乙紙。</w:t>
            </w:r>
          </w:p>
        </w:tc>
      </w:tr>
      <w:tr w:rsidR="00B24776">
        <w:tc>
          <w:tcPr>
            <w:tcW w:w="10050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76" w:rsidRDefault="00CE544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領回押標金票據（簽章）</w:t>
            </w:r>
          </w:p>
          <w:p w:rsidR="00B24776" w:rsidRDefault="00B24776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B24776" w:rsidRDefault="00B24776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B24776" w:rsidRDefault="00B24776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B24776" w:rsidRDefault="00B24776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B24776" w:rsidRDefault="00CE544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於開標後，由領回者簽收</w:t>
            </w:r>
            <w:r>
              <w:rPr>
                <w:rFonts w:eastAsia="標楷體"/>
                <w:sz w:val="28"/>
                <w:szCs w:val="28"/>
              </w:rPr>
              <w:t xml:space="preserve">)  </w:t>
            </w:r>
            <w:r>
              <w:rPr>
                <w:rFonts w:eastAsia="標楷體"/>
                <w:sz w:val="28"/>
                <w:szCs w:val="28"/>
              </w:rPr>
              <w:t>請簽寫領回者姓名、身分證字號及電話</w:t>
            </w:r>
          </w:p>
        </w:tc>
      </w:tr>
      <w:tr w:rsidR="00B24776">
        <w:tc>
          <w:tcPr>
            <w:tcW w:w="10050" w:type="dxa"/>
            <w:tcBorders>
              <w:top w:val="double" w:sz="4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76" w:rsidRDefault="00CE544E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加價情形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/>
                <w:sz w:val="28"/>
                <w:szCs w:val="28"/>
              </w:rPr>
              <w:t>廠商投標時請勿填寫</w:t>
            </w:r>
            <w:r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/>
                <w:sz w:val="28"/>
                <w:szCs w:val="28"/>
              </w:rPr>
              <w:t>：</w:t>
            </w:r>
          </w:p>
          <w:p w:rsidR="00B24776" w:rsidRDefault="00B24776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tbl>
            <w:tblPr>
              <w:tblW w:w="982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35"/>
              <w:gridCol w:w="3229"/>
              <w:gridCol w:w="2666"/>
              <w:gridCol w:w="2494"/>
            </w:tblGrid>
            <w:tr w:rsidR="00B24776"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CE544E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加價次別</w:t>
                  </w:r>
                </w:p>
              </w:tc>
              <w:tc>
                <w:tcPr>
                  <w:tcW w:w="3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CE544E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競標設備設置容量</w:t>
                  </w:r>
                  <w:r>
                    <w:rPr>
                      <w:rFonts w:eastAsia="標楷體"/>
                      <w:sz w:val="28"/>
                      <w:szCs w:val="28"/>
                    </w:rPr>
                    <w:t>(kWp)</w:t>
                  </w:r>
                </w:p>
                <w:p w:rsidR="00B24776" w:rsidRDefault="00CE544E">
                  <w:pPr>
                    <w:snapToGrid w:val="0"/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</w:rPr>
                    <w:t>(</w:t>
                  </w:r>
                  <w:r>
                    <w:rPr>
                      <w:rFonts w:eastAsia="標楷體"/>
                      <w:sz w:val="28"/>
                      <w:szCs w:val="24"/>
                    </w:rPr>
                    <w:t>數值可填寫至小數點後</w:t>
                  </w:r>
                  <w:r>
                    <w:rPr>
                      <w:rFonts w:eastAsia="標楷體"/>
                      <w:sz w:val="28"/>
                      <w:szCs w:val="24"/>
                    </w:rPr>
                    <w:t>1</w:t>
                  </w:r>
                  <w:r>
                    <w:rPr>
                      <w:rFonts w:eastAsia="標楷體"/>
                      <w:sz w:val="28"/>
                      <w:szCs w:val="24"/>
                    </w:rPr>
                    <w:t>位</w:t>
                  </w:r>
                  <w:r>
                    <w:rPr>
                      <w:rFonts w:eastAsia="標楷體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CE544E">
                  <w:pPr>
                    <w:snapToGrid w:val="0"/>
                    <w:jc w:val="center"/>
                  </w:pPr>
                  <w:r>
                    <w:rPr>
                      <w:rFonts w:ascii="標楷體" w:eastAsia="標楷體" w:hAnsi="標楷體"/>
                      <w:b/>
                      <w:color w:val="FF0000"/>
                      <w:sz w:val="28"/>
                      <w:szCs w:val="28"/>
                    </w:rPr>
                    <w:t>回饋金合計值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標楷體"/>
                      <w:sz w:val="28"/>
                      <w:szCs w:val="28"/>
                    </w:rPr>
                    <w:t>(%)</w:t>
                  </w:r>
                </w:p>
                <w:p w:rsidR="00B24776" w:rsidRDefault="00CE544E">
                  <w:pPr>
                    <w:snapToGrid w:val="0"/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</w:rPr>
                    <w:t>(</w:t>
                  </w:r>
                  <w:r>
                    <w:rPr>
                      <w:rFonts w:eastAsia="標楷體"/>
                      <w:sz w:val="28"/>
                      <w:szCs w:val="24"/>
                    </w:rPr>
                    <w:t>數值可填寫至小數點後</w:t>
                  </w:r>
                  <w:r>
                    <w:rPr>
                      <w:rFonts w:eastAsia="標楷體"/>
                      <w:sz w:val="28"/>
                      <w:szCs w:val="24"/>
                    </w:rPr>
                    <w:t>1</w:t>
                  </w:r>
                  <w:r>
                    <w:rPr>
                      <w:rFonts w:eastAsia="標楷體"/>
                      <w:sz w:val="28"/>
                      <w:szCs w:val="24"/>
                    </w:rPr>
                    <w:t>位</w:t>
                  </w:r>
                  <w:r>
                    <w:rPr>
                      <w:rFonts w:eastAsia="標楷體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CE544E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相乘比值</w:t>
                  </w:r>
                </w:p>
              </w:tc>
            </w:tr>
            <w:tr w:rsidR="00B24776"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CE544E">
                  <w:pPr>
                    <w:snapToGrid w:val="0"/>
                    <w:jc w:val="center"/>
                    <w:rPr>
                      <w:rFonts w:eastAsia="標楷體"/>
                      <w:sz w:val="28"/>
                      <w:szCs w:val="28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第一次</w:t>
                  </w:r>
                </w:p>
              </w:tc>
              <w:tc>
                <w:tcPr>
                  <w:tcW w:w="3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B24776">
                  <w:pPr>
                    <w:snapToGrid w:val="0"/>
                    <w:spacing w:line="360" w:lineRule="auto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B24776">
                  <w:pPr>
                    <w:snapToGrid w:val="0"/>
                    <w:spacing w:line="360" w:lineRule="auto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B24776">
                  <w:pPr>
                    <w:snapToGrid w:val="0"/>
                    <w:spacing w:line="360" w:lineRule="auto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B24776"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CE544E">
                  <w:pPr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</w:rPr>
                    <w:t>第二次</w:t>
                  </w:r>
                </w:p>
              </w:tc>
              <w:tc>
                <w:tcPr>
                  <w:tcW w:w="3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B24776">
                  <w:pPr>
                    <w:snapToGrid w:val="0"/>
                    <w:spacing w:line="360" w:lineRule="auto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B24776">
                  <w:pPr>
                    <w:snapToGrid w:val="0"/>
                    <w:spacing w:line="360" w:lineRule="auto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B24776">
                  <w:pPr>
                    <w:snapToGrid w:val="0"/>
                    <w:spacing w:line="360" w:lineRule="auto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B24776"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CE544E">
                  <w:pPr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</w:rPr>
                    <w:t>第三次</w:t>
                  </w:r>
                </w:p>
              </w:tc>
              <w:tc>
                <w:tcPr>
                  <w:tcW w:w="3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B24776">
                  <w:pPr>
                    <w:snapToGrid w:val="0"/>
                    <w:spacing w:line="360" w:lineRule="auto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B24776">
                  <w:pPr>
                    <w:snapToGrid w:val="0"/>
                    <w:spacing w:line="360" w:lineRule="auto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B24776">
                  <w:pPr>
                    <w:snapToGrid w:val="0"/>
                    <w:spacing w:line="360" w:lineRule="auto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B24776"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CE544E">
                  <w:pPr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</w:rPr>
                    <w:t>第四次</w:t>
                  </w:r>
                </w:p>
              </w:tc>
              <w:tc>
                <w:tcPr>
                  <w:tcW w:w="3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B24776">
                  <w:pPr>
                    <w:snapToGrid w:val="0"/>
                    <w:spacing w:line="360" w:lineRule="auto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B24776">
                  <w:pPr>
                    <w:snapToGrid w:val="0"/>
                    <w:spacing w:line="360" w:lineRule="auto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B24776">
                  <w:pPr>
                    <w:snapToGrid w:val="0"/>
                    <w:spacing w:line="360" w:lineRule="auto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B24776"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CE544E">
                  <w:pPr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</w:rPr>
                    <w:t>第五次</w:t>
                  </w:r>
                </w:p>
              </w:tc>
              <w:tc>
                <w:tcPr>
                  <w:tcW w:w="3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B24776">
                  <w:pPr>
                    <w:snapToGrid w:val="0"/>
                    <w:spacing w:line="360" w:lineRule="auto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B24776">
                  <w:pPr>
                    <w:snapToGrid w:val="0"/>
                    <w:spacing w:line="360" w:lineRule="auto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B24776">
                  <w:pPr>
                    <w:snapToGrid w:val="0"/>
                    <w:spacing w:line="360" w:lineRule="auto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  <w:tr w:rsidR="00B24776">
              <w:tc>
                <w:tcPr>
                  <w:tcW w:w="1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CE544E">
                  <w:pPr>
                    <w:jc w:val="center"/>
                  </w:pPr>
                  <w:r>
                    <w:rPr>
                      <w:rFonts w:eastAsia="標楷體"/>
                      <w:sz w:val="28"/>
                      <w:szCs w:val="28"/>
                    </w:rPr>
                    <w:t>第六次</w:t>
                  </w:r>
                </w:p>
              </w:tc>
              <w:tc>
                <w:tcPr>
                  <w:tcW w:w="3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B24776">
                  <w:pPr>
                    <w:snapToGrid w:val="0"/>
                    <w:spacing w:line="360" w:lineRule="auto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B24776">
                  <w:pPr>
                    <w:snapToGrid w:val="0"/>
                    <w:spacing w:line="360" w:lineRule="auto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  <w:tc>
                <w:tcPr>
                  <w:tcW w:w="2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24776" w:rsidRDefault="00B24776">
                  <w:pPr>
                    <w:snapToGrid w:val="0"/>
                    <w:spacing w:line="360" w:lineRule="auto"/>
                    <w:rPr>
                      <w:rFonts w:eastAsia="標楷體"/>
                      <w:sz w:val="28"/>
                      <w:szCs w:val="28"/>
                    </w:rPr>
                  </w:pPr>
                </w:p>
              </w:tc>
            </w:tr>
          </w:tbl>
          <w:p w:rsidR="00B24776" w:rsidRDefault="00CE544E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註：議價內容以售電回饋百分比</w:t>
            </w:r>
            <w:r>
              <w:rPr>
                <w:rFonts w:eastAsia="標楷體"/>
                <w:sz w:val="28"/>
                <w:szCs w:val="28"/>
              </w:rPr>
              <w:t>(%)</w:t>
            </w:r>
            <w:r>
              <w:rPr>
                <w:rFonts w:eastAsia="標楷體"/>
                <w:sz w:val="28"/>
                <w:szCs w:val="28"/>
              </w:rPr>
              <w:t>為議價項目，且競標設備設置容量</w:t>
            </w:r>
            <w:r>
              <w:rPr>
                <w:rFonts w:eastAsia="標楷體"/>
                <w:sz w:val="28"/>
                <w:szCs w:val="28"/>
              </w:rPr>
              <w:t>(kWp)</w:t>
            </w:r>
            <w:r>
              <w:rPr>
                <w:rFonts w:eastAsia="標楷體"/>
                <w:sz w:val="28"/>
                <w:szCs w:val="28"/>
              </w:rPr>
              <w:t>與售電回饋百分比</w:t>
            </w:r>
            <w:r>
              <w:rPr>
                <w:rFonts w:eastAsia="標楷體"/>
                <w:sz w:val="28"/>
                <w:szCs w:val="28"/>
              </w:rPr>
              <w:t>(%)</w:t>
            </w:r>
            <w:r>
              <w:rPr>
                <w:rFonts w:eastAsia="標楷體"/>
                <w:sz w:val="28"/>
                <w:szCs w:val="28"/>
              </w:rPr>
              <w:t>皆不得低於投標時之填寫值。</w:t>
            </w:r>
          </w:p>
          <w:p w:rsidR="00B24776" w:rsidRDefault="00B24776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B24776">
        <w:tc>
          <w:tcPr>
            <w:tcW w:w="10050" w:type="dxa"/>
            <w:tcBorders>
              <w:top w:val="doub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776" w:rsidRDefault="00CE544E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招標單位</w:t>
            </w:r>
            <w:r>
              <w:rPr>
                <w:rFonts w:eastAsia="標楷體"/>
                <w:sz w:val="28"/>
                <w:szCs w:val="28"/>
              </w:rPr>
              <w:t xml:space="preserve">                       </w:t>
            </w:r>
            <w:r>
              <w:rPr>
                <w:rFonts w:eastAsia="標楷體"/>
                <w:sz w:val="28"/>
                <w:szCs w:val="28"/>
              </w:rPr>
              <w:t>主持人</w:t>
            </w:r>
            <w:r>
              <w:rPr>
                <w:rFonts w:eastAsia="標楷體"/>
                <w:sz w:val="28"/>
                <w:szCs w:val="28"/>
              </w:rPr>
              <w:t xml:space="preserve">                      </w:t>
            </w:r>
            <w:r>
              <w:rPr>
                <w:rFonts w:eastAsia="標楷體"/>
                <w:sz w:val="28"/>
                <w:szCs w:val="28"/>
              </w:rPr>
              <w:t>（機關名稱）</w:t>
            </w:r>
          </w:p>
          <w:p w:rsidR="00B24776" w:rsidRDefault="00B24776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B24776" w:rsidRDefault="00B24776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B24776" w:rsidRDefault="00B24776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B24776" w:rsidRDefault="00B24776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B24776" w:rsidRDefault="00B24776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B24776" w:rsidRDefault="00B24776">
            <w:pPr>
              <w:snapToGrid w:val="0"/>
              <w:rPr>
                <w:rFonts w:eastAsia="標楷體"/>
                <w:sz w:val="28"/>
                <w:szCs w:val="28"/>
              </w:rPr>
            </w:pPr>
          </w:p>
          <w:p w:rsidR="00B24776" w:rsidRDefault="00B24776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:rsidR="00B24776" w:rsidRDefault="00CE544E">
      <w:pPr>
        <w:snapToGrid w:val="0"/>
        <w:ind w:left="240" w:hanging="240"/>
        <w:jc w:val="both"/>
      </w:pPr>
      <w:r>
        <w:rPr>
          <w:rFonts w:ascii="標楷體" w:eastAsia="標楷體" w:hAnsi="標楷體" w:cs="Arial"/>
        </w:rPr>
        <w:t>1.表內各欄均請</w:t>
      </w:r>
      <w:r>
        <w:rPr>
          <w:rFonts w:eastAsia="標楷體"/>
        </w:rPr>
        <w:t>以墨水筆或原子筆</w:t>
      </w:r>
      <w:r>
        <w:rPr>
          <w:rFonts w:ascii="標楷體" w:eastAsia="標楷體" w:hAnsi="標楷體" w:cs="Arial"/>
        </w:rPr>
        <w:t>詳細確實填寫，</w:t>
      </w:r>
      <w:r>
        <w:rPr>
          <w:rFonts w:ascii="標楷體" w:eastAsia="標楷體" w:hAnsi="標楷體"/>
        </w:rPr>
        <w:t>填寫錯誤或塗改處應加蓋負責人(代理人)印章。</w:t>
      </w:r>
      <w:r>
        <w:rPr>
          <w:rFonts w:ascii="標楷體" w:eastAsia="標楷體" w:hAnsi="標楷體" w:cs="Arial"/>
        </w:rPr>
        <w:t>否則以無效標處理。</w:t>
      </w:r>
    </w:p>
    <w:p w:rsidR="00B24776" w:rsidRDefault="00CE544E">
      <w:pPr>
        <w:snapToGrid w:val="0"/>
        <w:ind w:left="240" w:hanging="240"/>
      </w:pPr>
      <w:r>
        <w:rPr>
          <w:rFonts w:ascii="標楷體" w:eastAsia="標楷體" w:hAnsi="標楷體" w:cs="Arial"/>
        </w:rPr>
        <w:t>2.請詳閱投標須知關於投標無效之情形；其他應注意事項詳見招標公告、</w:t>
      </w:r>
      <w:r>
        <w:rPr>
          <w:rFonts w:ascii="標楷體" w:eastAsia="標楷體" w:hAnsi="標楷體"/>
          <w:color w:val="FF0000"/>
        </w:rPr>
        <w:t>11</w:t>
      </w:r>
      <w:r w:rsidR="00583917">
        <w:rPr>
          <w:rFonts w:ascii="標楷體" w:eastAsia="標楷體" w:hAnsi="標楷體" w:hint="eastAsia"/>
          <w:color w:val="FF0000"/>
        </w:rPr>
        <w:t>2</w:t>
      </w:r>
      <w:bookmarkStart w:id="0" w:name="_GoBack"/>
      <w:bookmarkEnd w:id="0"/>
      <w:r>
        <w:rPr>
          <w:rFonts w:ascii="標楷體" w:eastAsia="標楷體" w:hAnsi="標楷體"/>
          <w:color w:val="FF0000"/>
        </w:rPr>
        <w:t>年臺北市市有公用房地提供設置太陽光電公民電廠招標案</w:t>
      </w:r>
      <w:r>
        <w:rPr>
          <w:rFonts w:ascii="標楷體" w:eastAsia="標楷體" w:hAnsi="標楷體" w:cs="DFKaiShu-SB-Estd-BF"/>
          <w:kern w:val="0"/>
        </w:rPr>
        <w:t>投標須知</w:t>
      </w:r>
      <w:r>
        <w:rPr>
          <w:rFonts w:ascii="標楷體" w:eastAsia="標楷體" w:hAnsi="標楷體" w:cs="Arial"/>
        </w:rPr>
        <w:t>。</w:t>
      </w:r>
    </w:p>
    <w:p w:rsidR="00B24776" w:rsidRDefault="00B24776">
      <w:pPr>
        <w:snapToGrid w:val="0"/>
      </w:pPr>
    </w:p>
    <w:p w:rsidR="00B24776" w:rsidRDefault="00B24776">
      <w:pPr>
        <w:snapToGrid w:val="0"/>
      </w:pPr>
    </w:p>
    <w:sectPr w:rsidR="00B24776">
      <w:headerReference w:type="default" r:id="rId7"/>
      <w:pgSz w:w="11906" w:h="16838"/>
      <w:pgMar w:top="851" w:right="851" w:bottom="851" w:left="851" w:header="720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654" w:rsidRDefault="00E53654">
      <w:r>
        <w:separator/>
      </w:r>
    </w:p>
  </w:endnote>
  <w:endnote w:type="continuationSeparator" w:id="0">
    <w:p w:rsidR="00E53654" w:rsidRDefault="00E5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654" w:rsidRDefault="00E53654">
      <w:r>
        <w:rPr>
          <w:color w:val="000000"/>
        </w:rPr>
        <w:separator/>
      </w:r>
    </w:p>
  </w:footnote>
  <w:footnote w:type="continuationSeparator" w:id="0">
    <w:p w:rsidR="00E53654" w:rsidRDefault="00E53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B62" w:rsidRDefault="00CE544E">
    <w:pPr>
      <w:pStyle w:val="a4"/>
    </w:pPr>
    <w:r>
      <w:rPr>
        <w:b/>
      </w:rPr>
      <w:t>附件</w:t>
    </w:r>
    <w:r>
      <w:rPr>
        <w:b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D3DAD"/>
    <w:multiLevelType w:val="multilevel"/>
    <w:tmpl w:val="913C24F2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603CD6"/>
    <w:multiLevelType w:val="multilevel"/>
    <w:tmpl w:val="51C8FD1C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776"/>
    <w:rsid w:val="00583917"/>
    <w:rsid w:val="00AD56DF"/>
    <w:rsid w:val="00B10910"/>
    <w:rsid w:val="00B24776"/>
    <w:rsid w:val="00CE544E"/>
    <w:rsid w:val="00E5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372B3"/>
  <w15:docId w15:val="{F453E32F-D13F-4522-BB37-AF911F4D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before="120"/>
      <w:ind w:left="680" w:hanging="680"/>
    </w:pPr>
    <w:rPr>
      <w:rFonts w:eastAsia="標楷體"/>
      <w:spacing w:val="20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桃園縣政府工程標單</dc:title>
  <dc:subject/>
  <dc:creator>oa</dc:creator>
  <cp:lastModifiedBy>User</cp:lastModifiedBy>
  <cp:revision>3</cp:revision>
  <cp:lastPrinted>2016-11-11T03:24:00Z</cp:lastPrinted>
  <dcterms:created xsi:type="dcterms:W3CDTF">2023-02-17T09:13:00Z</dcterms:created>
  <dcterms:modified xsi:type="dcterms:W3CDTF">2023-02-17T09:13:00Z</dcterms:modified>
</cp:coreProperties>
</file>